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BCA943" w14:textId="739D63BA" w:rsidR="00F31793" w:rsidRPr="00CC00C9" w:rsidRDefault="00F80DAA" w:rsidP="00F31793">
      <w:pPr>
        <w:pStyle w:val="Header"/>
        <w:tabs>
          <w:tab w:val="center" w:pos="4536"/>
          <w:tab w:val="right" w:pos="9639"/>
          <w:tab w:val="right" w:pos="9781"/>
        </w:tabs>
        <w:ind w:right="-58"/>
        <w:jc w:val="both"/>
        <w:rPr>
          <w:rFonts w:eastAsia="MS Mincho" w:cs="Arial"/>
          <w:bCs/>
          <w:sz w:val="22"/>
          <w:szCs w:val="24"/>
          <w:lang w:val="en-US"/>
        </w:rPr>
      </w:pPr>
      <w:bookmarkStart w:id="0" w:name="historyclause"/>
      <w:bookmarkStart w:id="1" w:name="_Toc383764588"/>
      <w:r w:rsidRPr="00CC00C9">
        <w:rPr>
          <w:rFonts w:eastAsia="MS Mincho" w:cs="Arial"/>
          <w:bCs/>
          <w:sz w:val="22"/>
          <w:szCs w:val="24"/>
          <w:lang w:val="en-US"/>
        </w:rPr>
        <w:t>3GPP TSG RAN WG1 #</w:t>
      </w:r>
      <w:r w:rsidR="00B75DF2">
        <w:rPr>
          <w:rFonts w:eastAsia="MS Mincho" w:cs="Arial"/>
          <w:bCs/>
          <w:sz w:val="22"/>
          <w:szCs w:val="24"/>
          <w:lang w:val="en-US"/>
        </w:rPr>
        <w:t>1</w:t>
      </w:r>
      <w:r w:rsidR="000C1FD1">
        <w:rPr>
          <w:rFonts w:eastAsia="MS Mincho" w:cs="Arial"/>
          <w:bCs/>
          <w:sz w:val="22"/>
          <w:szCs w:val="24"/>
          <w:lang w:val="en-US"/>
        </w:rPr>
        <w:t>1</w:t>
      </w:r>
      <w:r w:rsidR="00F573A6">
        <w:rPr>
          <w:rFonts w:eastAsia="MS Mincho" w:cs="Arial"/>
          <w:bCs/>
          <w:sz w:val="22"/>
          <w:szCs w:val="24"/>
          <w:lang w:val="en-US"/>
        </w:rPr>
        <w:t>3</w:t>
      </w:r>
      <w:r w:rsidR="0071181B" w:rsidRPr="00CC00C9">
        <w:rPr>
          <w:rFonts w:eastAsia="MS Mincho" w:cs="Arial"/>
          <w:bCs/>
          <w:sz w:val="22"/>
          <w:szCs w:val="24"/>
          <w:lang w:val="en-US"/>
        </w:rPr>
        <w:tab/>
      </w:r>
      <w:r w:rsidR="004548FB" w:rsidRPr="00CC00C9">
        <w:rPr>
          <w:rFonts w:eastAsia="MS Mincho" w:cs="Arial"/>
          <w:bCs/>
          <w:sz w:val="22"/>
          <w:szCs w:val="24"/>
          <w:lang w:val="en-US"/>
        </w:rPr>
        <w:tab/>
      </w:r>
      <w:r w:rsidR="003A6576" w:rsidRPr="003A6576">
        <w:rPr>
          <w:rFonts w:eastAsia="MS Mincho" w:cs="Arial"/>
          <w:bCs/>
          <w:sz w:val="22"/>
          <w:szCs w:val="24"/>
          <w:lang w:val="en-US"/>
        </w:rPr>
        <w:t>R1-2305669 </w:t>
      </w:r>
    </w:p>
    <w:p w14:paraId="1E241712" w14:textId="63ABD4FE" w:rsidR="00AA7E8B" w:rsidRPr="00CC00C9" w:rsidRDefault="00843209" w:rsidP="00AA7E8B">
      <w:pPr>
        <w:tabs>
          <w:tab w:val="center" w:pos="4536"/>
          <w:tab w:val="right" w:pos="9072"/>
        </w:tabs>
        <w:rPr>
          <w:rFonts w:ascii="Arial" w:eastAsia="MS Mincho" w:hAnsi="Arial" w:cs="Arial"/>
          <w:b/>
          <w:bCs/>
          <w:noProof/>
          <w:szCs w:val="24"/>
        </w:rPr>
      </w:pPr>
      <w:r>
        <w:rPr>
          <w:rFonts w:ascii="Arial" w:eastAsia="MS Mincho" w:hAnsi="Arial" w:cs="Arial"/>
          <w:b/>
          <w:bCs/>
          <w:noProof/>
          <w:szCs w:val="24"/>
        </w:rPr>
        <w:t>Incheon</w:t>
      </w:r>
      <w:r w:rsidR="00C85967">
        <w:rPr>
          <w:rFonts w:ascii="Arial" w:eastAsia="MS Mincho" w:hAnsi="Arial" w:cs="Arial"/>
          <w:b/>
          <w:bCs/>
          <w:noProof/>
          <w:szCs w:val="24"/>
        </w:rPr>
        <w:t xml:space="preserve">, </w:t>
      </w:r>
      <w:r>
        <w:rPr>
          <w:rFonts w:ascii="Arial" w:eastAsia="MS Mincho" w:hAnsi="Arial" w:cs="Arial"/>
          <w:b/>
          <w:bCs/>
          <w:noProof/>
          <w:szCs w:val="24"/>
        </w:rPr>
        <w:t>Korea, May</w:t>
      </w:r>
      <w:r w:rsidR="007177AA" w:rsidRPr="007177AA">
        <w:rPr>
          <w:rFonts w:ascii="Arial" w:eastAsia="MS Mincho" w:hAnsi="Arial" w:cs="Arial"/>
          <w:b/>
          <w:bCs/>
          <w:noProof/>
          <w:szCs w:val="24"/>
        </w:rPr>
        <w:t xml:space="preserve"> </w:t>
      </w:r>
      <w:r>
        <w:rPr>
          <w:rFonts w:ascii="Arial" w:eastAsia="MS Mincho" w:hAnsi="Arial" w:cs="Arial"/>
          <w:b/>
          <w:bCs/>
          <w:noProof/>
          <w:szCs w:val="24"/>
        </w:rPr>
        <w:t>22</w:t>
      </w:r>
      <w:r w:rsidRPr="00843209">
        <w:rPr>
          <w:rFonts w:ascii="Arial" w:eastAsia="MS Mincho" w:hAnsi="Arial" w:cs="Arial"/>
          <w:b/>
          <w:bCs/>
          <w:noProof/>
          <w:szCs w:val="24"/>
          <w:vertAlign w:val="superscript"/>
        </w:rPr>
        <w:t>nd</w:t>
      </w:r>
      <w:r>
        <w:rPr>
          <w:rFonts w:ascii="Arial" w:eastAsia="MS Mincho" w:hAnsi="Arial" w:cs="Arial"/>
          <w:b/>
          <w:bCs/>
          <w:noProof/>
          <w:szCs w:val="24"/>
        </w:rPr>
        <w:t xml:space="preserve"> </w:t>
      </w:r>
      <w:r w:rsidR="007177AA" w:rsidRPr="007177AA">
        <w:rPr>
          <w:rFonts w:ascii="Arial" w:eastAsia="MS Mincho" w:hAnsi="Arial" w:cs="Arial"/>
          <w:b/>
          <w:bCs/>
          <w:noProof/>
          <w:szCs w:val="24"/>
        </w:rPr>
        <w:t>–</w:t>
      </w:r>
      <w:r w:rsidR="008A45BC">
        <w:rPr>
          <w:rFonts w:ascii="Arial" w:eastAsia="MS Mincho" w:hAnsi="Arial" w:cs="Arial"/>
          <w:b/>
          <w:bCs/>
          <w:noProof/>
          <w:szCs w:val="24"/>
        </w:rPr>
        <w:t xml:space="preserve"> </w:t>
      </w:r>
      <w:r w:rsidR="00C85967">
        <w:rPr>
          <w:rFonts w:ascii="Arial" w:eastAsia="MS Mincho" w:hAnsi="Arial" w:cs="Arial"/>
          <w:b/>
          <w:bCs/>
          <w:noProof/>
          <w:szCs w:val="24"/>
        </w:rPr>
        <w:t>26</w:t>
      </w:r>
      <w:r w:rsidR="00C85967" w:rsidRPr="00C85967">
        <w:rPr>
          <w:rFonts w:ascii="Arial" w:eastAsia="MS Mincho" w:hAnsi="Arial" w:cs="Arial"/>
          <w:b/>
          <w:bCs/>
          <w:noProof/>
          <w:szCs w:val="24"/>
          <w:vertAlign w:val="superscript"/>
        </w:rPr>
        <w:t>th</w:t>
      </w:r>
      <w:r w:rsidR="00C85967">
        <w:rPr>
          <w:rFonts w:ascii="Arial" w:eastAsia="MS Mincho" w:hAnsi="Arial" w:cs="Arial"/>
          <w:b/>
          <w:bCs/>
          <w:noProof/>
          <w:szCs w:val="24"/>
        </w:rPr>
        <w:t xml:space="preserve"> </w:t>
      </w:r>
      <w:r w:rsidR="007177AA" w:rsidRPr="007177AA">
        <w:rPr>
          <w:rFonts w:ascii="Arial" w:eastAsia="MS Mincho" w:hAnsi="Arial" w:cs="Arial"/>
          <w:b/>
          <w:bCs/>
          <w:noProof/>
          <w:szCs w:val="24"/>
        </w:rPr>
        <w:t>, 202</w:t>
      </w:r>
      <w:r w:rsidR="008A45BC">
        <w:rPr>
          <w:rFonts w:ascii="Arial" w:eastAsia="MS Mincho" w:hAnsi="Arial" w:cs="Arial"/>
          <w:b/>
          <w:bCs/>
          <w:noProof/>
          <w:szCs w:val="24"/>
        </w:rPr>
        <w:t>3</w:t>
      </w:r>
    </w:p>
    <w:p w14:paraId="0DDA331C" w14:textId="77777777" w:rsidR="00F31793" w:rsidRPr="00CC00C9" w:rsidRDefault="00F31793" w:rsidP="00F31793">
      <w:pPr>
        <w:pStyle w:val="Header"/>
        <w:tabs>
          <w:tab w:val="center" w:pos="4536"/>
          <w:tab w:val="right" w:pos="8280"/>
          <w:tab w:val="right" w:pos="9781"/>
        </w:tabs>
        <w:ind w:right="-58"/>
        <w:jc w:val="both"/>
        <w:rPr>
          <w:rFonts w:eastAsia="MS Mincho" w:cs="Arial"/>
          <w:bCs/>
          <w:sz w:val="24"/>
          <w:szCs w:val="24"/>
          <w:lang w:val="en-US"/>
        </w:rPr>
      </w:pPr>
    </w:p>
    <w:p w14:paraId="06E770FF" w14:textId="50875606" w:rsidR="006517D0" w:rsidRPr="00CC00C9" w:rsidRDefault="006517D0" w:rsidP="00F31793">
      <w:pPr>
        <w:pStyle w:val="Header"/>
        <w:tabs>
          <w:tab w:val="center" w:pos="4536"/>
          <w:tab w:val="right" w:pos="8280"/>
          <w:tab w:val="right" w:pos="9781"/>
        </w:tabs>
        <w:ind w:right="-58"/>
        <w:jc w:val="both"/>
        <w:rPr>
          <w:rFonts w:cs="Arial"/>
          <w:bCs/>
          <w:sz w:val="22"/>
          <w:szCs w:val="24"/>
          <w:lang w:val="en-US" w:eastAsia="zh-TW"/>
        </w:rPr>
      </w:pPr>
      <w:r w:rsidRPr="00CC00C9">
        <w:rPr>
          <w:rFonts w:eastAsia="MS Mincho" w:cs="Arial"/>
          <w:bCs/>
          <w:sz w:val="22"/>
          <w:szCs w:val="24"/>
          <w:lang w:val="en-US"/>
        </w:rPr>
        <w:t>Agenda Item:</w:t>
      </w:r>
      <w:r w:rsidRPr="00CC00C9">
        <w:rPr>
          <w:rFonts w:cs="Arial"/>
          <w:bCs/>
          <w:sz w:val="22"/>
          <w:szCs w:val="24"/>
          <w:lang w:val="en-US" w:eastAsia="zh-TW"/>
        </w:rPr>
        <w:t xml:space="preserve"> </w:t>
      </w:r>
      <w:r w:rsidR="00C2581D">
        <w:rPr>
          <w:rFonts w:cs="Arial"/>
          <w:bCs/>
          <w:sz w:val="22"/>
          <w:szCs w:val="24"/>
          <w:lang w:val="en-US" w:eastAsia="zh-TW"/>
        </w:rPr>
        <w:t>9</w:t>
      </w:r>
      <w:r w:rsidR="00EB7F95" w:rsidRPr="00CC00C9">
        <w:rPr>
          <w:rFonts w:cs="Arial"/>
          <w:bCs/>
          <w:sz w:val="22"/>
          <w:szCs w:val="24"/>
          <w:lang w:val="en-US" w:eastAsia="zh-TW"/>
        </w:rPr>
        <w:t>.</w:t>
      </w:r>
      <w:r w:rsidR="00C2581D">
        <w:rPr>
          <w:rFonts w:cs="Arial"/>
          <w:bCs/>
          <w:sz w:val="22"/>
          <w:szCs w:val="24"/>
          <w:lang w:val="en-US" w:eastAsia="zh-TW"/>
        </w:rPr>
        <w:t>1</w:t>
      </w:r>
      <w:r w:rsidR="004E68FE">
        <w:rPr>
          <w:rFonts w:cs="Arial"/>
          <w:bCs/>
          <w:sz w:val="22"/>
          <w:szCs w:val="24"/>
          <w:lang w:val="en-US" w:eastAsia="zh-TW"/>
        </w:rPr>
        <w:t>.</w:t>
      </w:r>
      <w:r w:rsidR="00C2581D">
        <w:rPr>
          <w:rFonts w:cs="Arial"/>
          <w:bCs/>
          <w:sz w:val="22"/>
          <w:szCs w:val="24"/>
          <w:lang w:val="en-US" w:eastAsia="zh-TW"/>
        </w:rPr>
        <w:t>2</w:t>
      </w:r>
    </w:p>
    <w:p w14:paraId="77E6A679" w14:textId="77777777" w:rsidR="006517D0" w:rsidRPr="00CC00C9" w:rsidRDefault="006517D0" w:rsidP="00FC5872">
      <w:pPr>
        <w:pStyle w:val="Header"/>
        <w:tabs>
          <w:tab w:val="center" w:pos="4536"/>
          <w:tab w:val="right" w:pos="8280"/>
          <w:tab w:val="right" w:pos="9781"/>
        </w:tabs>
        <w:ind w:right="-58"/>
        <w:jc w:val="both"/>
        <w:rPr>
          <w:rFonts w:eastAsia="MS Mincho" w:cs="Arial"/>
          <w:bCs/>
          <w:sz w:val="22"/>
          <w:szCs w:val="24"/>
          <w:lang w:val="en-US"/>
        </w:rPr>
      </w:pPr>
      <w:r w:rsidRPr="00CC00C9">
        <w:rPr>
          <w:rFonts w:eastAsia="MS Mincho" w:cs="Arial"/>
          <w:bCs/>
          <w:sz w:val="22"/>
          <w:szCs w:val="24"/>
          <w:lang w:val="en-US"/>
        </w:rPr>
        <w:t>Source:</w:t>
      </w:r>
      <w:r w:rsidRPr="00CC00C9">
        <w:rPr>
          <w:rFonts w:cs="Arial"/>
          <w:bCs/>
          <w:sz w:val="22"/>
          <w:szCs w:val="24"/>
          <w:lang w:val="en-US" w:eastAsia="zh-TW"/>
        </w:rPr>
        <w:t xml:space="preserve"> </w:t>
      </w:r>
      <w:r w:rsidRPr="00CC00C9">
        <w:rPr>
          <w:rFonts w:eastAsia="MS Mincho" w:cs="Arial"/>
          <w:bCs/>
          <w:sz w:val="22"/>
          <w:szCs w:val="24"/>
          <w:lang w:val="en-US"/>
        </w:rPr>
        <w:t>MediaTek Inc.</w:t>
      </w:r>
    </w:p>
    <w:p w14:paraId="668D66DE" w14:textId="3F30BA61" w:rsidR="006517D0" w:rsidRPr="00CC00C9" w:rsidRDefault="006517D0" w:rsidP="00504D6C">
      <w:pPr>
        <w:pStyle w:val="Header"/>
        <w:tabs>
          <w:tab w:val="center" w:pos="4536"/>
          <w:tab w:val="right" w:pos="8280"/>
          <w:tab w:val="right" w:pos="9781"/>
        </w:tabs>
        <w:ind w:left="770" w:right="-58" w:hanging="770"/>
        <w:rPr>
          <w:rFonts w:cs="Arial"/>
          <w:bCs/>
          <w:sz w:val="22"/>
          <w:szCs w:val="24"/>
          <w:lang w:val="en-US" w:eastAsia="zh-TW"/>
        </w:rPr>
      </w:pPr>
      <w:r w:rsidRPr="00CC00C9">
        <w:rPr>
          <w:rFonts w:eastAsia="MS Mincho" w:cs="Arial"/>
          <w:bCs/>
          <w:sz w:val="22"/>
          <w:szCs w:val="24"/>
          <w:lang w:val="en-US"/>
        </w:rPr>
        <w:t>Title:</w:t>
      </w:r>
      <w:r w:rsidR="00853276">
        <w:rPr>
          <w:rFonts w:eastAsia="MS Mincho" w:cs="Arial"/>
          <w:bCs/>
          <w:sz w:val="22"/>
          <w:szCs w:val="24"/>
          <w:lang w:val="en-US"/>
        </w:rPr>
        <w:t xml:space="preserve"> </w:t>
      </w:r>
      <w:r w:rsidR="00C2581D">
        <w:rPr>
          <w:rFonts w:eastAsia="MS Mincho" w:cs="Arial"/>
          <w:bCs/>
          <w:sz w:val="22"/>
          <w:szCs w:val="24"/>
          <w:lang w:val="en-US"/>
        </w:rPr>
        <w:t>CSI enhancement</w:t>
      </w:r>
    </w:p>
    <w:p w14:paraId="59B036AD" w14:textId="58417C9F" w:rsidR="006517D0" w:rsidRPr="00615E57" w:rsidRDefault="006517D0" w:rsidP="00FC5872">
      <w:pPr>
        <w:pStyle w:val="Header"/>
        <w:tabs>
          <w:tab w:val="center" w:pos="4536"/>
          <w:tab w:val="right" w:pos="8280"/>
          <w:tab w:val="right" w:pos="9781"/>
        </w:tabs>
        <w:spacing w:after="120"/>
        <w:ind w:right="-58"/>
        <w:jc w:val="both"/>
        <w:rPr>
          <w:rFonts w:eastAsia="MS Mincho" w:cs="Arial"/>
          <w:bCs/>
          <w:sz w:val="28"/>
          <w:szCs w:val="24"/>
          <w:lang w:val="en-US"/>
        </w:rPr>
      </w:pPr>
      <w:r w:rsidRPr="00CC00C9">
        <w:rPr>
          <w:rFonts w:eastAsia="MS Mincho" w:cs="Arial"/>
          <w:bCs/>
          <w:sz w:val="22"/>
          <w:szCs w:val="24"/>
          <w:lang w:val="en-US"/>
        </w:rPr>
        <w:t>Document for:</w:t>
      </w:r>
      <w:r w:rsidRPr="00CC00C9">
        <w:rPr>
          <w:rFonts w:cs="Arial"/>
          <w:bCs/>
          <w:sz w:val="22"/>
          <w:szCs w:val="24"/>
          <w:lang w:val="en-US" w:eastAsia="zh-TW"/>
        </w:rPr>
        <w:t xml:space="preserve"> </w:t>
      </w:r>
      <w:r w:rsidR="00DD41ED" w:rsidRPr="00CC00C9">
        <w:rPr>
          <w:rFonts w:eastAsia="MS Mincho" w:cs="Arial"/>
          <w:bCs/>
          <w:sz w:val="22"/>
          <w:szCs w:val="24"/>
          <w:lang w:val="en-US"/>
        </w:rPr>
        <w:t>Discussion</w:t>
      </w:r>
      <w:r w:rsidR="004F2576">
        <w:rPr>
          <w:rFonts w:eastAsia="MS Mincho" w:cs="Arial"/>
          <w:bCs/>
          <w:sz w:val="22"/>
          <w:szCs w:val="24"/>
          <w:lang w:val="en-US"/>
        </w:rPr>
        <w:t xml:space="preserve"> and Decision</w:t>
      </w:r>
    </w:p>
    <w:p w14:paraId="2A50278C" w14:textId="5C4AEA77" w:rsidR="00920B51" w:rsidRPr="00FF32BA" w:rsidRDefault="00DB5BA6" w:rsidP="00906050">
      <w:pPr>
        <w:pStyle w:val="Heading1"/>
        <w:numPr>
          <w:ilvl w:val="0"/>
          <w:numId w:val="1"/>
        </w:numPr>
        <w:spacing w:after="100" w:afterAutospacing="1"/>
        <w:ind w:left="357" w:hanging="357"/>
        <w:jc w:val="both"/>
        <w:rPr>
          <w:rFonts w:eastAsia="MS Mincho" w:cs="Arial"/>
          <w:b/>
          <w:sz w:val="32"/>
          <w:szCs w:val="32"/>
          <w:lang w:val="en-US"/>
        </w:rPr>
      </w:pPr>
      <w:r>
        <w:rPr>
          <w:rFonts w:eastAsia="MS Mincho" w:cs="Arial"/>
          <w:b/>
          <w:sz w:val="32"/>
          <w:szCs w:val="32"/>
          <w:lang w:val="en-US"/>
        </w:rPr>
        <w:t>Introduction</w:t>
      </w:r>
    </w:p>
    <w:p w14:paraId="333EE164" w14:textId="59F2F4B9" w:rsidR="00377F7A" w:rsidRDefault="0004438F" w:rsidP="00C027A4">
      <w:pPr>
        <w:spacing w:before="100" w:beforeAutospacing="1" w:after="100" w:afterAutospacing="1"/>
        <w:jc w:val="both"/>
        <w:rPr>
          <w:color w:val="000000" w:themeColor="text1"/>
          <w:lang w:eastAsia="zh-TW"/>
        </w:rPr>
      </w:pPr>
      <w:r>
        <w:rPr>
          <w:color w:val="000000" w:themeColor="text1"/>
        </w:rPr>
        <w:t>In the RAN#</w:t>
      </w:r>
      <w:r w:rsidR="00377F7A">
        <w:rPr>
          <w:rFonts w:hint="eastAsia"/>
          <w:color w:val="000000" w:themeColor="text1"/>
          <w:lang w:eastAsia="zh-TW"/>
        </w:rPr>
        <w:t>94</w:t>
      </w:r>
      <w:r>
        <w:rPr>
          <w:color w:val="000000" w:themeColor="text1"/>
        </w:rPr>
        <w:t xml:space="preserve">e meeting, </w:t>
      </w:r>
      <w:r w:rsidR="00377F7A">
        <w:rPr>
          <w:rFonts w:hint="eastAsia"/>
          <w:color w:val="000000" w:themeColor="text1"/>
          <w:lang w:eastAsia="zh-TW"/>
        </w:rPr>
        <w:t>t</w:t>
      </w:r>
      <w:r w:rsidR="00377F7A">
        <w:rPr>
          <w:color w:val="000000" w:themeColor="text1"/>
          <w:lang w:eastAsia="zh-TW"/>
        </w:rPr>
        <w:t xml:space="preserve">he working item “NR MIMO evolution for downlink and uplink” for Rel-18 is approved. The objectives </w:t>
      </w:r>
      <w:r w:rsidR="00A35A32">
        <w:rPr>
          <w:color w:val="000000" w:themeColor="text1"/>
          <w:lang w:eastAsia="zh-TW"/>
        </w:rPr>
        <w:t>for</w:t>
      </w:r>
      <w:r w:rsidR="00377F7A">
        <w:rPr>
          <w:color w:val="000000" w:themeColor="text1"/>
          <w:lang w:eastAsia="zh-TW"/>
        </w:rPr>
        <w:t xml:space="preserve"> </w:t>
      </w:r>
      <w:r w:rsidR="00A35A32">
        <w:rPr>
          <w:color w:val="000000" w:themeColor="text1"/>
          <w:lang w:eastAsia="zh-TW"/>
        </w:rPr>
        <w:t xml:space="preserve">DL </w:t>
      </w:r>
      <w:r w:rsidR="00377F7A">
        <w:rPr>
          <w:color w:val="000000" w:themeColor="text1"/>
          <w:lang w:eastAsia="zh-TW"/>
        </w:rPr>
        <w:t xml:space="preserve">CSI enhancement </w:t>
      </w:r>
      <w:r w:rsidR="00A35A32">
        <w:rPr>
          <w:color w:val="000000" w:themeColor="text1"/>
          <w:lang w:eastAsia="zh-TW"/>
        </w:rPr>
        <w:t>include</w:t>
      </w:r>
      <w:r w:rsidR="00377F7A">
        <w:rPr>
          <w:color w:val="000000" w:themeColor="text1"/>
          <w:lang w:eastAsia="zh-TW"/>
        </w:rPr>
        <w:t xml:space="preserve"> </w:t>
      </w:r>
      <w:r w:rsidR="0020395A">
        <w:rPr>
          <w:color w:val="000000" w:themeColor="text1"/>
          <w:lang w:eastAsia="zh-TW"/>
        </w:rPr>
        <w:fldChar w:fldCharType="begin"/>
      </w:r>
      <w:r w:rsidR="0020395A">
        <w:rPr>
          <w:color w:val="000000" w:themeColor="text1"/>
          <w:lang w:eastAsia="zh-TW"/>
        </w:rPr>
        <w:instrText xml:space="preserve"> REF _Ref112936975 \r \h </w:instrText>
      </w:r>
      <w:r w:rsidR="0020395A">
        <w:rPr>
          <w:color w:val="000000" w:themeColor="text1"/>
          <w:lang w:eastAsia="zh-TW"/>
        </w:rPr>
      </w:r>
      <w:r w:rsidR="0020395A">
        <w:rPr>
          <w:color w:val="000000" w:themeColor="text1"/>
          <w:lang w:eastAsia="zh-TW"/>
        </w:rPr>
        <w:fldChar w:fldCharType="separate"/>
      </w:r>
      <w:r w:rsidR="0020395A">
        <w:rPr>
          <w:color w:val="000000" w:themeColor="text1"/>
          <w:lang w:eastAsia="zh-TW"/>
        </w:rPr>
        <w:t>[1]</w:t>
      </w:r>
      <w:r w:rsidR="0020395A">
        <w:rPr>
          <w:color w:val="000000" w:themeColor="text1"/>
          <w:lang w:eastAsia="zh-TW"/>
        </w:rPr>
        <w:fldChar w:fldCharType="end"/>
      </w:r>
    </w:p>
    <w:p w14:paraId="2E430A0D" w14:textId="7B34C3B6" w:rsidR="00377F7A" w:rsidRPr="00377F7A" w:rsidRDefault="00377F7A" w:rsidP="00310A79">
      <w:pPr>
        <w:pStyle w:val="ListParagraph"/>
        <w:numPr>
          <w:ilvl w:val="0"/>
          <w:numId w:val="7"/>
        </w:numPr>
        <w:spacing w:before="100" w:beforeAutospacing="1" w:after="100" w:afterAutospacing="1"/>
        <w:ind w:left="360"/>
        <w:jc w:val="both"/>
        <w:rPr>
          <w:color w:val="000000" w:themeColor="text1"/>
        </w:rPr>
      </w:pPr>
      <w:r w:rsidRPr="00377F7A">
        <w:rPr>
          <w:color w:val="000000" w:themeColor="text1"/>
        </w:rPr>
        <w:t>Study, and if justified, specify CSI reporting enhancement for high/medium UE velocities by exploiting time-domain correlation/Doppler-domain information to assist DL precoding, targeting FR1, as follows:</w:t>
      </w:r>
    </w:p>
    <w:p w14:paraId="5CE55948" w14:textId="77777777" w:rsidR="00377F7A" w:rsidRPr="00377F7A" w:rsidRDefault="00377F7A" w:rsidP="00377F7A">
      <w:pPr>
        <w:spacing w:before="100" w:beforeAutospacing="1" w:after="100" w:afterAutospacing="1"/>
        <w:ind w:left="360"/>
        <w:jc w:val="both"/>
        <w:rPr>
          <w:color w:val="000000" w:themeColor="text1"/>
        </w:rPr>
      </w:pPr>
      <w:r w:rsidRPr="00377F7A">
        <w:rPr>
          <w:color w:val="000000" w:themeColor="text1"/>
        </w:rPr>
        <w:t>-</w:t>
      </w:r>
      <w:r w:rsidRPr="00377F7A">
        <w:rPr>
          <w:color w:val="000000" w:themeColor="text1"/>
        </w:rPr>
        <w:tab/>
        <w:t>Rel-16/17 Type-II codebook refinement, without modification to the spatial and frequency domain basis</w:t>
      </w:r>
    </w:p>
    <w:p w14:paraId="63AF080E" w14:textId="0B2D3363" w:rsidR="004C6D3C" w:rsidRDefault="00377F7A" w:rsidP="00377F7A">
      <w:pPr>
        <w:spacing w:before="100" w:beforeAutospacing="1" w:after="100" w:afterAutospacing="1"/>
        <w:ind w:left="360"/>
        <w:jc w:val="both"/>
        <w:rPr>
          <w:color w:val="000000" w:themeColor="text1"/>
        </w:rPr>
      </w:pPr>
      <w:r w:rsidRPr="00377F7A">
        <w:rPr>
          <w:color w:val="000000" w:themeColor="text1"/>
        </w:rPr>
        <w:t>-</w:t>
      </w:r>
      <w:r w:rsidRPr="00377F7A">
        <w:rPr>
          <w:color w:val="000000" w:themeColor="text1"/>
        </w:rPr>
        <w:tab/>
        <w:t>UE reporting of time-domain channel properties measured via CSI-RS for tracking</w:t>
      </w:r>
    </w:p>
    <w:p w14:paraId="7B9CC46D" w14:textId="77777777" w:rsidR="00377F7A" w:rsidRPr="00377F7A" w:rsidRDefault="00377F7A" w:rsidP="00310A79">
      <w:pPr>
        <w:pStyle w:val="ListParagraph"/>
        <w:numPr>
          <w:ilvl w:val="0"/>
          <w:numId w:val="7"/>
        </w:numPr>
        <w:spacing w:before="100" w:beforeAutospacing="1" w:after="100" w:afterAutospacing="1"/>
        <w:ind w:left="360"/>
        <w:jc w:val="both"/>
        <w:rPr>
          <w:color w:val="000000" w:themeColor="text1"/>
        </w:rPr>
      </w:pPr>
      <w:r w:rsidRPr="00377F7A">
        <w:rPr>
          <w:color w:val="000000" w:themeColor="text1"/>
        </w:rPr>
        <w:t>Study, and if justified, specify enhancements of CSI acquisition for Coherent-JT targeting FR1 and up to 4 TRPs, assuming ideal backhaul and synchronization as well as the same number of antenna ports across TRPs, as follows:</w:t>
      </w:r>
    </w:p>
    <w:p w14:paraId="48287665" w14:textId="77777777" w:rsidR="00377F7A" w:rsidRPr="00377F7A" w:rsidRDefault="00377F7A" w:rsidP="00310A79">
      <w:pPr>
        <w:pStyle w:val="ListParagraph"/>
        <w:numPr>
          <w:ilvl w:val="0"/>
          <w:numId w:val="8"/>
        </w:numPr>
        <w:spacing w:before="100" w:beforeAutospacing="1" w:after="100" w:afterAutospacing="1"/>
        <w:jc w:val="both"/>
        <w:rPr>
          <w:color w:val="000000" w:themeColor="text1"/>
        </w:rPr>
      </w:pPr>
      <w:r w:rsidRPr="00377F7A">
        <w:rPr>
          <w:color w:val="000000" w:themeColor="text1"/>
        </w:rPr>
        <w:t>Rel-16/17 Type-II codebook refinement for CJT mTRP targeting FDD and its associated CSI reporting, taking into account throughput-overhead trade-off</w:t>
      </w:r>
    </w:p>
    <w:p w14:paraId="60190786" w14:textId="3040D52D" w:rsidR="00377F7A" w:rsidRDefault="00377F7A" w:rsidP="00310A79">
      <w:pPr>
        <w:pStyle w:val="ListParagraph"/>
        <w:numPr>
          <w:ilvl w:val="0"/>
          <w:numId w:val="8"/>
        </w:numPr>
        <w:spacing w:before="100" w:beforeAutospacing="1" w:after="100" w:afterAutospacing="1"/>
        <w:jc w:val="both"/>
        <w:rPr>
          <w:color w:val="000000" w:themeColor="text1"/>
        </w:rPr>
      </w:pPr>
      <w:r w:rsidRPr="00377F7A">
        <w:rPr>
          <w:color w:val="000000" w:themeColor="text1"/>
        </w:rPr>
        <w:t>Note: the maximum number of CSI-RS ports per resource remains the same as in Rel-17, i.e. 32</w:t>
      </w:r>
    </w:p>
    <w:p w14:paraId="423EF225" w14:textId="717D534B" w:rsidR="00377F7A" w:rsidRPr="00377F7A" w:rsidRDefault="00377F7A" w:rsidP="4A115CB9">
      <w:pPr>
        <w:spacing w:before="100" w:beforeAutospacing="1" w:after="100" w:afterAutospacing="1"/>
        <w:jc w:val="both"/>
        <w:rPr>
          <w:color w:val="000000" w:themeColor="text1"/>
        </w:rPr>
      </w:pPr>
      <w:r>
        <w:rPr>
          <w:color w:val="000000" w:themeColor="text1"/>
        </w:rPr>
        <w:t xml:space="preserve">In this technical document, we </w:t>
      </w:r>
      <w:r w:rsidR="00DC07FF">
        <w:rPr>
          <w:color w:val="000000" w:themeColor="text1"/>
        </w:rPr>
        <w:t>share</w:t>
      </w:r>
      <w:r>
        <w:rPr>
          <w:color w:val="000000" w:themeColor="text1"/>
        </w:rPr>
        <w:t xml:space="preserve"> our </w:t>
      </w:r>
      <w:r w:rsidR="00DC07FF">
        <w:rPr>
          <w:color w:val="000000" w:themeColor="text1"/>
        </w:rPr>
        <w:t xml:space="preserve">study results and </w:t>
      </w:r>
      <w:r>
        <w:rPr>
          <w:color w:val="000000" w:themeColor="text1"/>
        </w:rPr>
        <w:t>views</w:t>
      </w:r>
      <w:r w:rsidR="004F2576">
        <w:rPr>
          <w:color w:val="000000" w:themeColor="text1"/>
        </w:rPr>
        <w:t xml:space="preserve"> based on the agreements from</w:t>
      </w:r>
      <w:r w:rsidR="003B6EAF">
        <w:rPr>
          <w:color w:val="000000" w:themeColor="text1"/>
        </w:rPr>
        <w:t xml:space="preserve"> the RAN1#11</w:t>
      </w:r>
      <w:r w:rsidR="00207855">
        <w:rPr>
          <w:color w:val="000000" w:themeColor="text1"/>
        </w:rPr>
        <w:t>2</w:t>
      </w:r>
      <w:r w:rsidR="003B6EAF">
        <w:rPr>
          <w:color w:val="000000" w:themeColor="text1"/>
        </w:rPr>
        <w:t xml:space="preserve"> meeting </w:t>
      </w:r>
      <w:r w:rsidR="003B6EAF" w:rsidRPr="4A115CB9">
        <w:fldChar w:fldCharType="begin"/>
      </w:r>
      <w:r w:rsidR="003B6EAF">
        <w:rPr>
          <w:color w:val="000000" w:themeColor="text1"/>
        </w:rPr>
        <w:instrText xml:space="preserve"> REF _Ref112936990 \r \h </w:instrText>
      </w:r>
      <w:r w:rsidR="003B6EAF" w:rsidRPr="4A115CB9">
        <w:rPr>
          <w:color w:val="000000" w:themeColor="text1"/>
        </w:rPr>
        <w:fldChar w:fldCharType="separate"/>
      </w:r>
      <w:r w:rsidR="003B6EAF">
        <w:rPr>
          <w:color w:val="000000" w:themeColor="text1"/>
        </w:rPr>
        <w:t>[2]</w:t>
      </w:r>
      <w:r w:rsidR="003B6EAF" w:rsidRPr="4A115CB9">
        <w:fldChar w:fldCharType="end"/>
      </w:r>
      <w:r w:rsidR="00DC07FF">
        <w:rPr>
          <w:color w:val="000000" w:themeColor="text1"/>
        </w:rPr>
        <w:t>.</w:t>
      </w:r>
    </w:p>
    <w:p w14:paraId="028B8E5F" w14:textId="14C303CB" w:rsidR="00DB5BA6" w:rsidRDefault="00EF53BA" w:rsidP="00592E0A">
      <w:pPr>
        <w:pStyle w:val="Heading1"/>
        <w:numPr>
          <w:ilvl w:val="0"/>
          <w:numId w:val="1"/>
        </w:numPr>
        <w:ind w:left="357" w:hanging="357"/>
        <w:jc w:val="both"/>
        <w:rPr>
          <w:rFonts w:eastAsia="MS Mincho" w:cs="Arial"/>
          <w:b/>
          <w:sz w:val="32"/>
          <w:szCs w:val="32"/>
          <w:lang w:val="en-US"/>
        </w:rPr>
      </w:pPr>
      <w:r w:rsidRPr="00EF53BA">
        <w:rPr>
          <w:rFonts w:eastAsia="MS Mincho" w:cs="Arial"/>
          <w:b/>
          <w:sz w:val="32"/>
          <w:szCs w:val="32"/>
          <w:lang w:val="en-US"/>
        </w:rPr>
        <w:t>CSI enhancement for high/medium UE velocities</w:t>
      </w:r>
    </w:p>
    <w:p w14:paraId="671E798A" w14:textId="70E45754" w:rsidR="00130FE6" w:rsidRDefault="002065C6" w:rsidP="00130FE6">
      <w:pPr>
        <w:pStyle w:val="Heading2"/>
        <w:numPr>
          <w:ilvl w:val="1"/>
          <w:numId w:val="1"/>
        </w:numPr>
      </w:pPr>
      <w:r>
        <w:t>Details on CSI-RS measurement and calculation</w:t>
      </w:r>
    </w:p>
    <w:p w14:paraId="48929BCA" w14:textId="50E078DA" w:rsidR="00130FE6" w:rsidRPr="00B11E75" w:rsidRDefault="00130FE6" w:rsidP="4A115CB9">
      <w:pPr>
        <w:jc w:val="both"/>
        <w:rPr>
          <w:lang w:eastAsia="zh-TW"/>
        </w:rPr>
      </w:pPr>
      <w:r w:rsidRPr="4A115CB9">
        <w:rPr>
          <w:lang w:val="en-GB" w:eastAsia="zh-TW"/>
        </w:rPr>
        <w:t>I</w:t>
      </w:r>
      <w:r>
        <w:rPr>
          <w:lang w:val="en-GB" w:eastAsia="zh-TW"/>
        </w:rPr>
        <w:t>n RAN1#11</w:t>
      </w:r>
      <w:r w:rsidR="00EF7011">
        <w:rPr>
          <w:lang w:val="en-GB" w:eastAsia="zh-TW"/>
        </w:rPr>
        <w:t>2</w:t>
      </w:r>
      <w:r w:rsidR="002065C6">
        <w:rPr>
          <w:lang w:val="en-GB" w:eastAsia="zh-TW"/>
        </w:rPr>
        <w:t>-bis</w:t>
      </w:r>
      <w:r>
        <w:rPr>
          <w:lang w:val="en-GB" w:eastAsia="zh-TW"/>
        </w:rPr>
        <w:t xml:space="preserve"> meeting, we have the following </w:t>
      </w:r>
      <w:r w:rsidR="0003512B">
        <w:rPr>
          <w:lang w:eastAsia="zh-TW"/>
        </w:rPr>
        <w:t>agreements</w:t>
      </w:r>
      <w:r>
        <w:rPr>
          <w:lang w:eastAsia="zh-TW"/>
        </w:rPr>
        <w:t xml:space="preserve"> </w:t>
      </w:r>
      <w:r w:rsidR="00CB51E0">
        <w:t>[</w:t>
      </w:r>
      <w:r w:rsidR="00E27D32">
        <w:t>2</w:t>
      </w:r>
      <w:r w:rsidR="00CB51E0">
        <w:t>]</w:t>
      </w:r>
    </w:p>
    <w:tbl>
      <w:tblPr>
        <w:tblStyle w:val="TableGrid"/>
        <w:tblW w:w="0" w:type="auto"/>
        <w:tblLook w:val="04A0" w:firstRow="1" w:lastRow="0" w:firstColumn="1" w:lastColumn="0" w:noHBand="0" w:noVBand="1"/>
      </w:tblPr>
      <w:tblGrid>
        <w:gridCol w:w="9631"/>
      </w:tblGrid>
      <w:tr w:rsidR="00130FE6" w14:paraId="5819332A" w14:textId="77777777" w:rsidTr="00EC770D">
        <w:tc>
          <w:tcPr>
            <w:tcW w:w="9631" w:type="dxa"/>
          </w:tcPr>
          <w:p w14:paraId="54A79351" w14:textId="77777777" w:rsidR="0079768C" w:rsidRDefault="00D27C1C" w:rsidP="001C3247">
            <w:pPr>
              <w:snapToGrid w:val="0"/>
              <w:rPr>
                <w:rFonts w:cs="Times"/>
                <w:b/>
                <w:highlight w:val="green"/>
              </w:rPr>
            </w:pPr>
            <w:r>
              <w:rPr>
                <w:rFonts w:cs="Times"/>
                <w:b/>
                <w:highlight w:val="green"/>
              </w:rPr>
              <w:t>Agreement</w:t>
            </w:r>
          </w:p>
          <w:p w14:paraId="32D4563F" w14:textId="77777777" w:rsidR="008121C8" w:rsidRDefault="008121C8" w:rsidP="008121C8">
            <w:pPr>
              <w:snapToGrid w:val="0"/>
              <w:jc w:val="both"/>
              <w:rPr>
                <w:rFonts w:cs="Times"/>
                <w:sz w:val="20"/>
              </w:rPr>
            </w:pPr>
            <w:r>
              <w:rPr>
                <w:rFonts w:cs="Times"/>
              </w:rPr>
              <w:t xml:space="preserve">For the Rel-18 Type-II codebook refinement for high/medium velocities, regarding CSI calculation and measurement, </w:t>
            </w:r>
          </w:p>
          <w:p w14:paraId="16FD8774" w14:textId="77777777" w:rsidR="008121C8" w:rsidRDefault="008121C8" w:rsidP="008121C8">
            <w:pPr>
              <w:pStyle w:val="ListParagraph"/>
              <w:numPr>
                <w:ilvl w:val="0"/>
                <w:numId w:val="37"/>
              </w:numPr>
              <w:snapToGrid w:val="0"/>
              <w:spacing w:after="0"/>
              <w:jc w:val="both"/>
              <w:rPr>
                <w:rFonts w:cs="Times"/>
              </w:rPr>
            </w:pPr>
            <w:r>
              <w:rPr>
                <w:rFonts w:cs="Times"/>
              </w:rPr>
              <w:t>The number of CSI-RS ports is the same for all the K configured CSI-RS resources comprising the CMR and the antenna ports for the same antenna port index across the K CSI-RS resources are the same.</w:t>
            </w:r>
          </w:p>
          <w:p w14:paraId="17423B72" w14:textId="77777777" w:rsidR="008121C8" w:rsidRDefault="008121C8" w:rsidP="008121C8">
            <w:pPr>
              <w:pStyle w:val="ListParagraph"/>
              <w:numPr>
                <w:ilvl w:val="0"/>
                <w:numId w:val="37"/>
              </w:numPr>
              <w:snapToGrid w:val="0"/>
              <w:spacing w:after="0"/>
              <w:jc w:val="both"/>
              <w:rPr>
                <w:rFonts w:cs="Times"/>
              </w:rPr>
            </w:pPr>
            <w:r>
              <w:rPr>
                <w:rFonts w:cs="Times"/>
              </w:rPr>
              <w:t xml:space="preserve">All the K configured CSI-RS resources comprising the CMR share the same BW and RE locations </w:t>
            </w:r>
          </w:p>
          <w:p w14:paraId="62EF30C5" w14:textId="77777777" w:rsidR="008121C8" w:rsidRDefault="008121C8" w:rsidP="008121C8">
            <w:pPr>
              <w:pStyle w:val="ListParagraph"/>
              <w:numPr>
                <w:ilvl w:val="0"/>
                <w:numId w:val="37"/>
              </w:numPr>
              <w:snapToGrid w:val="0"/>
              <w:spacing w:after="0"/>
              <w:jc w:val="both"/>
              <w:rPr>
                <w:rFonts w:cs="Times"/>
              </w:rPr>
            </w:pPr>
            <w:r>
              <w:rPr>
                <w:rFonts w:cs="Times"/>
              </w:rPr>
              <w:t xml:space="preserve">For interference measurement, legacy specification is fully reused, including the configuration for NZP CSI-RS for interference measurement or CSI-IM in relation to the configured CMR, i.e. only one NZP CSI-RS </w:t>
            </w:r>
            <w:r>
              <w:rPr>
                <w:rFonts w:cs="Times"/>
                <w:color w:val="FF0000"/>
              </w:rPr>
              <w:t xml:space="preserve">resource </w:t>
            </w:r>
            <w:r>
              <w:rPr>
                <w:rFonts w:cs="Times"/>
              </w:rPr>
              <w:t xml:space="preserve">for interference measurement or only one CSI-IM </w:t>
            </w:r>
            <w:r>
              <w:rPr>
                <w:rFonts w:cs="Times"/>
                <w:color w:val="FF0000"/>
              </w:rPr>
              <w:t xml:space="preserve">resource </w:t>
            </w:r>
            <w:r>
              <w:rPr>
                <w:rFonts w:cs="Times"/>
              </w:rPr>
              <w:t>can be configured irrespective of the value of K</w:t>
            </w:r>
          </w:p>
          <w:p w14:paraId="0D2EE3CA" w14:textId="77777777" w:rsidR="008121C8" w:rsidRDefault="008121C8" w:rsidP="008121C8">
            <w:pPr>
              <w:pStyle w:val="ListParagraph"/>
              <w:numPr>
                <w:ilvl w:val="0"/>
                <w:numId w:val="37"/>
              </w:numPr>
              <w:snapToGrid w:val="0"/>
              <w:spacing w:after="0"/>
              <w:jc w:val="both"/>
              <w:rPr>
                <w:rFonts w:cs="Times"/>
                <w:color w:val="000000"/>
              </w:rPr>
            </w:pPr>
            <w:r>
              <w:rPr>
                <w:rFonts w:cs="Times"/>
                <w:color w:val="000000"/>
              </w:rPr>
              <w:t xml:space="preserve">On PDSCH EPRE assumption for CQI calculation, a same </w:t>
            </w:r>
            <w:r>
              <w:rPr>
                <w:rFonts w:cs="Times"/>
                <w:i/>
                <w:iCs/>
                <w:color w:val="000000"/>
                <w:lang w:eastAsia="zh-CN"/>
              </w:rPr>
              <w:t>powerControlOffset</w:t>
            </w:r>
            <w:r>
              <w:rPr>
                <w:rFonts w:cs="Times"/>
                <w:color w:val="000000"/>
                <w:lang w:eastAsia="zh-CN"/>
              </w:rPr>
              <w:t xml:space="preserve"> value is assumed for all the K configured CSI-RS resources comprising the CMR</w:t>
            </w:r>
            <w:r>
              <w:rPr>
                <w:rFonts w:cs="Times"/>
                <w:color w:val="000000"/>
              </w:rPr>
              <w:t xml:space="preserve"> </w:t>
            </w:r>
          </w:p>
          <w:p w14:paraId="5AE57746" w14:textId="77777777" w:rsidR="008121C8" w:rsidRDefault="008121C8" w:rsidP="008121C8">
            <w:pPr>
              <w:pStyle w:val="ListParagraph"/>
              <w:numPr>
                <w:ilvl w:val="1"/>
                <w:numId w:val="37"/>
              </w:numPr>
              <w:snapToGrid w:val="0"/>
              <w:spacing w:after="0"/>
              <w:jc w:val="both"/>
              <w:rPr>
                <w:rFonts w:cs="Times"/>
                <w:color w:val="000000"/>
              </w:rPr>
            </w:pPr>
            <w:r>
              <w:rPr>
                <w:rFonts w:cs="Times"/>
                <w:color w:val="000000"/>
              </w:rPr>
              <w:lastRenderedPageBreak/>
              <w:t xml:space="preserve">Alt 1: The configured </w:t>
            </w:r>
            <w:r>
              <w:rPr>
                <w:rFonts w:cs="Times"/>
                <w:i/>
                <w:iCs/>
                <w:color w:val="000000"/>
                <w:lang w:eastAsia="zh-CN"/>
              </w:rPr>
              <w:t>powerControlOffset</w:t>
            </w:r>
            <w:r>
              <w:rPr>
                <w:rFonts w:cs="Times"/>
                <w:color w:val="000000"/>
                <w:lang w:eastAsia="zh-CN"/>
              </w:rPr>
              <w:t xml:space="preserve"> value </w:t>
            </w:r>
            <w:r>
              <w:rPr>
                <w:rFonts w:cs="Times"/>
                <w:color w:val="000000"/>
              </w:rPr>
              <w:t>is the same for all the K configured CSI-RS resources comprising the CMR</w:t>
            </w:r>
          </w:p>
          <w:p w14:paraId="301DAFCB" w14:textId="77777777" w:rsidR="008121C8" w:rsidRDefault="008121C8" w:rsidP="008121C8">
            <w:pPr>
              <w:pStyle w:val="ListParagraph"/>
              <w:numPr>
                <w:ilvl w:val="1"/>
                <w:numId w:val="37"/>
              </w:numPr>
              <w:snapToGrid w:val="0"/>
              <w:spacing w:after="0"/>
              <w:jc w:val="both"/>
              <w:rPr>
                <w:rFonts w:cs="Times"/>
                <w:color w:val="000000"/>
                <w:lang w:eastAsia="zh-CN"/>
              </w:rPr>
            </w:pPr>
            <w:r>
              <w:rPr>
                <w:rFonts w:cs="Times"/>
                <w:color w:val="000000"/>
                <w:lang w:eastAsia="zh-CN"/>
              </w:rPr>
              <w:t xml:space="preserve">Alt 2: The assumed </w:t>
            </w:r>
            <w:r>
              <w:rPr>
                <w:rFonts w:cs="Times"/>
                <w:color w:val="000000"/>
              </w:rPr>
              <w:t>PDSCH EPRE</w:t>
            </w:r>
            <w:r>
              <w:rPr>
                <w:rFonts w:cs="Times"/>
                <w:color w:val="000000"/>
                <w:lang w:eastAsia="zh-CN"/>
              </w:rPr>
              <w:t xml:space="preserve"> of all the K CSI-RS resources follows the configured </w:t>
            </w:r>
            <w:r>
              <w:rPr>
                <w:rFonts w:cs="Times"/>
                <w:i/>
                <w:iCs/>
                <w:color w:val="000000"/>
                <w:lang w:eastAsia="zh-CN"/>
              </w:rPr>
              <w:t>powerControlOffset</w:t>
            </w:r>
            <w:r>
              <w:rPr>
                <w:rFonts w:cs="Times"/>
                <w:color w:val="000000"/>
                <w:lang w:eastAsia="zh-CN"/>
              </w:rPr>
              <w:t xml:space="preserve"> value of one fixed CSI-RS resource, e.g. the first one</w:t>
            </w:r>
          </w:p>
          <w:p w14:paraId="10AA94C1" w14:textId="77777777" w:rsidR="001C3247" w:rsidRDefault="008121C8" w:rsidP="008121C8">
            <w:pPr>
              <w:spacing w:after="0"/>
              <w:contextualSpacing/>
              <w:rPr>
                <w:rFonts w:cs="Times"/>
                <w:color w:val="000000"/>
                <w:lang w:eastAsia="zh-CN"/>
              </w:rPr>
            </w:pPr>
            <w:r>
              <w:rPr>
                <w:rFonts w:cs="Times"/>
              </w:rPr>
              <w:t xml:space="preserve">Note: This may imply that </w:t>
            </w:r>
            <w:r>
              <w:rPr>
                <w:rFonts w:cs="Times"/>
                <w:lang w:eastAsia="zh-CN"/>
              </w:rPr>
              <w:t>existing section 5.2.2.</w:t>
            </w:r>
            <w:r>
              <w:rPr>
                <w:rFonts w:cs="Times"/>
                <w:strike/>
                <w:color w:val="FF0000"/>
                <w:lang w:eastAsia="zh-CN"/>
              </w:rPr>
              <w:t>2.7</w:t>
            </w:r>
            <w:r>
              <w:rPr>
                <w:rFonts w:cs="Times"/>
                <w:color w:val="FF0000"/>
                <w:lang w:eastAsia="zh-CN"/>
              </w:rPr>
              <w:t>5</w:t>
            </w:r>
            <w:r>
              <w:rPr>
                <w:rFonts w:cs="Times"/>
                <w:lang w:eastAsia="zh-CN"/>
              </w:rPr>
              <w:t xml:space="preserve"> of TS38.214 can apply</w:t>
            </w:r>
            <w:r>
              <w:rPr>
                <w:rFonts w:cs="Times"/>
                <w:color w:val="000000"/>
                <w:lang w:eastAsia="zh-CN"/>
              </w:rPr>
              <w:t xml:space="preserve"> to Rel-18 Type-II Doppler codebook in terms of Rel-18 CMR (burst of CSI-RS resources) and Rel-18 CSI reference resource</w:t>
            </w:r>
          </w:p>
          <w:p w14:paraId="726998D6" w14:textId="213F3395" w:rsidR="008121C8" w:rsidRPr="001C3247" w:rsidRDefault="008121C8" w:rsidP="008121C8">
            <w:pPr>
              <w:spacing w:after="0"/>
              <w:contextualSpacing/>
            </w:pPr>
          </w:p>
        </w:tc>
      </w:tr>
    </w:tbl>
    <w:p w14:paraId="0D70A92F" w14:textId="44E75949" w:rsidR="00973E9E" w:rsidRDefault="00973E9E" w:rsidP="00E47933">
      <w:pPr>
        <w:jc w:val="both"/>
        <w:rPr>
          <w:lang w:val="en-GB"/>
        </w:rPr>
      </w:pPr>
    </w:p>
    <w:p w14:paraId="487ADF3F" w14:textId="77777777" w:rsidR="000E0000" w:rsidRDefault="000E0000" w:rsidP="000E0000">
      <w:pPr>
        <w:jc w:val="both"/>
        <w:rPr>
          <w:lang w:val="en-GB"/>
        </w:rPr>
      </w:pPr>
      <w:r>
        <w:rPr>
          <w:lang w:val="en-GB"/>
        </w:rPr>
        <w:t xml:space="preserve">For good channel prediction performance, it is necessary that all K CSI-RS occasions share as many similarities as possible in the space and frequency dimensions, while only varying in the time domain which will be predicted. To ensure this, quite a few restrictions on CMR – including number of ports, bandwidth and RE locations, same </w:t>
      </w:r>
      <w:r w:rsidRPr="005C5150">
        <w:rPr>
          <w:i/>
          <w:iCs/>
          <w:lang w:val="en-GB"/>
        </w:rPr>
        <w:t>powerControlOffset</w:t>
      </w:r>
      <w:r>
        <w:rPr>
          <w:lang w:val="en-GB"/>
        </w:rPr>
        <w:t xml:space="preserve"> were agreed in the last meeting.  </w:t>
      </w:r>
    </w:p>
    <w:p w14:paraId="2CD34389" w14:textId="77777777" w:rsidR="000E0000" w:rsidRDefault="000E0000" w:rsidP="000E0000">
      <w:pPr>
        <w:jc w:val="both"/>
        <w:rPr>
          <w:lang w:val="en-GB"/>
        </w:rPr>
      </w:pPr>
      <w:r>
        <w:rPr>
          <w:lang w:val="en-GB"/>
        </w:rPr>
        <w:t xml:space="preserve">Additionally, it is desired that the CSI-RS occasions should have the </w:t>
      </w:r>
      <w:r w:rsidRPr="00602450">
        <w:rPr>
          <w:i/>
          <w:iCs/>
          <w:lang w:val="en-GB"/>
        </w:rPr>
        <w:t>same QCL state</w:t>
      </w:r>
      <w:r>
        <w:rPr>
          <w:lang w:val="en-GB"/>
        </w:rPr>
        <w:t xml:space="preserve">, so that they share similar spatial properties, and the </w:t>
      </w:r>
      <w:r w:rsidRPr="00602450">
        <w:rPr>
          <w:i/>
          <w:iCs/>
          <w:lang w:val="en-GB"/>
        </w:rPr>
        <w:t>same density</w:t>
      </w:r>
      <w:r>
        <w:rPr>
          <w:lang w:val="en-GB"/>
        </w:rPr>
        <w:t>, so that equal number of frequency domain CSI-RS resources are available in all occasions to make correct prediction.</w:t>
      </w:r>
    </w:p>
    <w:p w14:paraId="3FD2BBD5" w14:textId="77777777" w:rsidR="000E0000" w:rsidRDefault="000E0000" w:rsidP="000E0000">
      <w:pPr>
        <w:jc w:val="both"/>
        <w:rPr>
          <w:lang w:val="en-GB"/>
        </w:rPr>
      </w:pPr>
      <w:r w:rsidRPr="00A47DED">
        <w:rPr>
          <w:b/>
          <w:bCs/>
          <w:lang w:val="en-GB"/>
        </w:rPr>
        <w:t>Observation</w:t>
      </w:r>
      <w:r>
        <w:rPr>
          <w:b/>
          <w:bCs/>
          <w:lang w:val="en-GB"/>
        </w:rPr>
        <w:t xml:space="preserve"> 1</w:t>
      </w:r>
      <w:r w:rsidRPr="00A47DED">
        <w:rPr>
          <w:b/>
          <w:bCs/>
          <w:lang w:val="en-GB"/>
        </w:rPr>
        <w:t>:</w:t>
      </w:r>
      <w:r>
        <w:rPr>
          <w:lang w:val="en-GB"/>
        </w:rPr>
        <w:t xml:space="preserve"> For good channel prediction performance, it is necessary that all K CSI-RS occasions share as many similarities as possible in the space and frequency dimensions.</w:t>
      </w:r>
    </w:p>
    <w:p w14:paraId="7A5922E0" w14:textId="02EE1620" w:rsidR="00154F7C" w:rsidRDefault="000E0000" w:rsidP="00E47933">
      <w:pPr>
        <w:jc w:val="both"/>
        <w:rPr>
          <w:lang w:val="en-GB"/>
        </w:rPr>
      </w:pPr>
      <w:r w:rsidRPr="00A47DED">
        <w:rPr>
          <w:b/>
          <w:bCs/>
          <w:lang w:val="en-GB"/>
        </w:rPr>
        <w:t>Proposal</w:t>
      </w:r>
      <w:r>
        <w:rPr>
          <w:b/>
          <w:bCs/>
          <w:lang w:val="en-GB"/>
        </w:rPr>
        <w:t xml:space="preserve"> 1</w:t>
      </w:r>
      <w:r w:rsidRPr="00A47DED">
        <w:rPr>
          <w:b/>
          <w:bCs/>
          <w:lang w:val="en-GB"/>
        </w:rPr>
        <w:t>:</w:t>
      </w:r>
      <w:r>
        <w:rPr>
          <w:lang w:val="en-GB"/>
        </w:rPr>
        <w:t xml:space="preserve"> For </w:t>
      </w:r>
      <w:r>
        <w:rPr>
          <w:rFonts w:cs="Times"/>
        </w:rPr>
        <w:t>Rel-18 Type-II codebook refinement for high/medium velocities</w:t>
      </w:r>
      <w:r>
        <w:t>,</w:t>
      </w:r>
      <w:r>
        <w:rPr>
          <w:lang w:val="en-GB"/>
        </w:rPr>
        <w:t xml:space="preserve"> all K CSI-RS resources comprising the CMR should share the same QCL state info and density in the frequency domain.</w:t>
      </w:r>
    </w:p>
    <w:p w14:paraId="40E758E1" w14:textId="5D0070E3" w:rsidR="00AC72D8" w:rsidRDefault="002065C6" w:rsidP="00AC72D8">
      <w:pPr>
        <w:pStyle w:val="Heading2"/>
        <w:numPr>
          <w:ilvl w:val="1"/>
          <w:numId w:val="1"/>
        </w:numPr>
        <w:rPr>
          <w:lang w:eastAsia="zh-TW"/>
        </w:rPr>
      </w:pPr>
      <w:r>
        <w:t>CPU rules</w:t>
      </w:r>
    </w:p>
    <w:p w14:paraId="3BADD844" w14:textId="30D94634" w:rsidR="00D41051" w:rsidRDefault="00D41051" w:rsidP="00D41051">
      <w:pPr>
        <w:jc w:val="both"/>
        <w:rPr>
          <w:lang w:eastAsia="zh-TW"/>
        </w:rPr>
      </w:pPr>
      <w:r>
        <w:rPr>
          <w:rFonts w:hint="eastAsia"/>
          <w:lang w:val="en-GB" w:eastAsia="zh-TW"/>
        </w:rPr>
        <w:t>I</w:t>
      </w:r>
      <w:r>
        <w:rPr>
          <w:lang w:val="en-GB" w:eastAsia="zh-TW"/>
        </w:rPr>
        <w:t>n RAN1#11</w:t>
      </w:r>
      <w:r w:rsidR="007A6833">
        <w:rPr>
          <w:lang w:val="en-GB" w:eastAsia="zh-TW"/>
        </w:rPr>
        <w:t>2</w:t>
      </w:r>
      <w:r w:rsidR="002065C6">
        <w:rPr>
          <w:lang w:val="en-GB" w:eastAsia="zh-TW"/>
        </w:rPr>
        <w:t>-bis</w:t>
      </w:r>
      <w:r w:rsidR="0061462C">
        <w:rPr>
          <w:lang w:val="en-GB" w:eastAsia="zh-TW"/>
        </w:rPr>
        <w:t xml:space="preserve"> </w:t>
      </w:r>
      <w:r>
        <w:rPr>
          <w:lang w:val="en-GB" w:eastAsia="zh-TW"/>
        </w:rPr>
        <w:t xml:space="preserve">meeting, we have the following </w:t>
      </w:r>
      <w:r>
        <w:rPr>
          <w:lang w:eastAsia="zh-TW"/>
        </w:rPr>
        <w:t>agreement</w:t>
      </w:r>
      <w:r w:rsidR="0061462C">
        <w:rPr>
          <w:lang w:eastAsia="zh-TW"/>
        </w:rPr>
        <w:t xml:space="preserve">s </w:t>
      </w:r>
      <w:r w:rsidR="00DC0A21">
        <w:rPr>
          <w:lang w:eastAsia="zh-TW"/>
        </w:rPr>
        <w:fldChar w:fldCharType="begin"/>
      </w:r>
      <w:r w:rsidR="00DC0A21">
        <w:rPr>
          <w:lang w:eastAsia="zh-TW"/>
        </w:rPr>
        <w:instrText xml:space="preserve"> REF _Ref117178204 \r \h </w:instrText>
      </w:r>
      <w:r w:rsidR="00DC0A21">
        <w:rPr>
          <w:lang w:eastAsia="zh-TW"/>
        </w:rPr>
      </w:r>
      <w:r w:rsidR="00DC0A21">
        <w:rPr>
          <w:lang w:eastAsia="zh-TW"/>
        </w:rPr>
        <w:fldChar w:fldCharType="separate"/>
      </w:r>
      <w:r w:rsidR="00DC0A21">
        <w:rPr>
          <w:lang w:eastAsia="zh-TW"/>
        </w:rPr>
        <w:t>[</w:t>
      </w:r>
      <w:r w:rsidR="00926AD9">
        <w:rPr>
          <w:lang w:eastAsia="zh-TW"/>
        </w:rPr>
        <w:t>2</w:t>
      </w:r>
      <w:r w:rsidR="00DC0A21">
        <w:rPr>
          <w:lang w:eastAsia="zh-TW"/>
        </w:rPr>
        <w:t>]</w:t>
      </w:r>
      <w:r w:rsidR="00DC0A21">
        <w:rPr>
          <w:lang w:eastAsia="zh-TW"/>
        </w:rPr>
        <w:fldChar w:fldCharType="end"/>
      </w:r>
      <w:r>
        <w:rPr>
          <w:lang w:eastAsia="zh-TW"/>
        </w:rPr>
        <w:t>:</w:t>
      </w:r>
    </w:p>
    <w:tbl>
      <w:tblPr>
        <w:tblStyle w:val="TableGrid"/>
        <w:tblW w:w="0" w:type="auto"/>
        <w:tblLook w:val="04A0" w:firstRow="1" w:lastRow="0" w:firstColumn="1" w:lastColumn="0" w:noHBand="0" w:noVBand="1"/>
      </w:tblPr>
      <w:tblGrid>
        <w:gridCol w:w="9631"/>
      </w:tblGrid>
      <w:tr w:rsidR="005C3691" w14:paraId="7ADE0A94" w14:textId="77777777" w:rsidTr="00AC0A4D">
        <w:tc>
          <w:tcPr>
            <w:tcW w:w="9631" w:type="dxa"/>
          </w:tcPr>
          <w:p w14:paraId="6A69E7C4" w14:textId="77777777" w:rsidR="005C3691" w:rsidRDefault="005C3691" w:rsidP="00AC0A4D">
            <w:pPr>
              <w:snapToGrid w:val="0"/>
              <w:rPr>
                <w:rFonts w:cs="Times"/>
                <w:sz w:val="20"/>
                <w:highlight w:val="green"/>
              </w:rPr>
            </w:pPr>
            <w:r>
              <w:rPr>
                <w:rFonts w:cs="Times"/>
                <w:b/>
                <w:highlight w:val="green"/>
              </w:rPr>
              <w:t>Agreement</w:t>
            </w:r>
          </w:p>
          <w:p w14:paraId="7BED36D9" w14:textId="77777777" w:rsidR="005C3691" w:rsidRDefault="005C3691" w:rsidP="00AC0A4D">
            <w:pPr>
              <w:rPr>
                <w:rFonts w:cs="Times"/>
                <w:sz w:val="20"/>
              </w:rPr>
            </w:pPr>
            <w:r>
              <w:rPr>
                <w:rFonts w:cs="Times"/>
              </w:rPr>
              <w:t xml:space="preserve">For the Type-II codebook refinement for high/medium velocities, regarding the required number and/or occupation time of CPUs, the values of Z/Z’, and total number active/simultaneous CSI-RS resource/ports, decide, in RAN1#113, </w:t>
            </w:r>
            <w:r>
              <w:rPr>
                <w:rFonts w:cs="Times"/>
                <w:i/>
                <w:iCs/>
              </w:rPr>
              <w:t>at least</w:t>
            </w:r>
            <w:r>
              <w:rPr>
                <w:rFonts w:cs="Times"/>
              </w:rPr>
              <w:t xml:space="preserve"> based on the following factors: </w:t>
            </w:r>
          </w:p>
          <w:p w14:paraId="565E0B35" w14:textId="77777777" w:rsidR="005C3691" w:rsidRPr="005C3691" w:rsidRDefault="005C3691" w:rsidP="005C3691">
            <w:pPr>
              <w:pStyle w:val="ListParagraph"/>
              <w:numPr>
                <w:ilvl w:val="0"/>
                <w:numId w:val="38"/>
              </w:numPr>
              <w:snapToGrid w:val="0"/>
              <w:spacing w:after="0"/>
              <w:rPr>
                <w:rFonts w:cs="Times"/>
              </w:rPr>
            </w:pPr>
            <w:r>
              <w:rPr>
                <w:rFonts w:cs="Times"/>
              </w:rPr>
              <w:t xml:space="preserve">The </w:t>
            </w:r>
            <w:r>
              <w:rPr>
                <w:rFonts w:cs="Times"/>
                <w:color w:val="000000"/>
              </w:rPr>
              <w:t xml:space="preserve">measurement of </w:t>
            </w:r>
            <w:r>
              <w:rPr>
                <w:rFonts w:cs="Times"/>
                <w:i/>
                <w:iCs/>
                <w:color w:val="000000"/>
              </w:rPr>
              <w:t>K</w:t>
            </w:r>
            <w:r>
              <w:rPr>
                <w:rFonts w:cs="Times"/>
                <w:color w:val="000000"/>
              </w:rPr>
              <w:t xml:space="preserve">&gt;1 CSI-RS resources for Type-II CSI required to perform UE-side prediction, </w:t>
            </w:r>
            <w:r>
              <w:rPr>
                <w:rFonts w:cs="Times"/>
                <w:strike/>
                <w:color w:val="FF0000"/>
              </w:rPr>
              <w:t>UE-side prediction based on multiple</w:t>
            </w:r>
            <w:r>
              <w:rPr>
                <w:rFonts w:cs="Times"/>
                <w:color w:val="FF0000"/>
              </w:rPr>
              <w:t xml:space="preserve"> </w:t>
            </w:r>
            <w:r>
              <w:rPr>
                <w:rFonts w:cs="Times"/>
                <w:color w:val="000000"/>
              </w:rPr>
              <w:t xml:space="preserve">CSI-RS occasion(s) before CSI triggering </w:t>
            </w:r>
            <w:r>
              <w:rPr>
                <w:rFonts w:cs="Times"/>
                <w:color w:val="FF0000"/>
              </w:rPr>
              <w:t>(FFS whether to support)</w:t>
            </w:r>
            <w:r>
              <w:rPr>
                <w:rFonts w:cs="Times"/>
                <w:color w:val="000000"/>
              </w:rPr>
              <w:t xml:space="preserve">, </w:t>
            </w:r>
            <w:r>
              <w:rPr>
                <w:rFonts w:cs="Times"/>
                <w:color w:val="FF0000"/>
                <w:lang w:eastAsia="zh-CN"/>
              </w:rPr>
              <w:t xml:space="preserve">CSI-RS occasion(s) after CSI triggering </w:t>
            </w:r>
            <w:r>
              <w:rPr>
                <w:rFonts w:cs="Times"/>
                <w:color w:val="000000"/>
              </w:rPr>
              <w:t>and</w:t>
            </w:r>
            <w:r>
              <w:rPr>
                <w:rFonts w:cs="Times"/>
                <w:strike/>
                <w:color w:val="FF0000"/>
              </w:rPr>
              <w:t>, when the configured N</w:t>
            </w:r>
            <w:r>
              <w:rPr>
                <w:rFonts w:cs="Times"/>
                <w:strike/>
                <w:color w:val="FF0000"/>
                <w:vertAlign w:val="subscript"/>
              </w:rPr>
              <w:t>4</w:t>
            </w:r>
            <w:r>
              <w:rPr>
                <w:rFonts w:cs="Times"/>
                <w:strike/>
                <w:color w:val="FF0000"/>
              </w:rPr>
              <w:t xml:space="preserve"> value is &gt;1,</w:t>
            </w:r>
            <w:r>
              <w:rPr>
                <w:rFonts w:cs="Times"/>
              </w:rPr>
              <w:t xml:space="preserve"> DD compression </w:t>
            </w:r>
            <w:r>
              <w:rPr>
                <w:rFonts w:cs="Times"/>
                <w:color w:val="FF0000"/>
              </w:rPr>
              <w:t>(when the configured N</w:t>
            </w:r>
            <w:r>
              <w:rPr>
                <w:rFonts w:cs="Times"/>
                <w:color w:val="FF0000"/>
                <w:vertAlign w:val="subscript"/>
              </w:rPr>
              <w:t>4</w:t>
            </w:r>
            <w:r>
              <w:rPr>
                <w:rFonts w:cs="Times"/>
                <w:color w:val="FF0000"/>
              </w:rPr>
              <w:t xml:space="preserve"> value is &gt;1) </w:t>
            </w:r>
          </w:p>
          <w:p w14:paraId="70E0CB24" w14:textId="77777777" w:rsidR="005C3691" w:rsidRPr="00871BE1" w:rsidRDefault="005C3691" w:rsidP="00AC0A4D">
            <w:pPr>
              <w:widowControl w:val="0"/>
              <w:suppressAutoHyphens/>
              <w:snapToGrid w:val="0"/>
              <w:spacing w:after="0"/>
              <w:jc w:val="both"/>
              <w:rPr>
                <w:rFonts w:cs="Times"/>
                <w:szCs w:val="18"/>
              </w:rPr>
            </w:pPr>
          </w:p>
        </w:tc>
      </w:tr>
    </w:tbl>
    <w:p w14:paraId="58E25565" w14:textId="02D381E6" w:rsidR="00E23743" w:rsidRDefault="00E23743" w:rsidP="00D41051">
      <w:pPr>
        <w:jc w:val="both"/>
        <w:rPr>
          <w:lang w:val="en-GB" w:eastAsia="zh-TW"/>
        </w:rPr>
      </w:pPr>
    </w:p>
    <w:p w14:paraId="1250B8A7" w14:textId="77777777" w:rsidR="000E0000" w:rsidRPr="00E2764C" w:rsidRDefault="000E0000" w:rsidP="000E0000">
      <w:pPr>
        <w:rPr>
          <w:u w:val="single"/>
        </w:rPr>
      </w:pPr>
      <w:r w:rsidRPr="00E2764C">
        <w:rPr>
          <w:u w:val="single"/>
        </w:rPr>
        <w:t>Regarding CPU Occupation:</w:t>
      </w:r>
    </w:p>
    <w:p w14:paraId="3DC889FA" w14:textId="77777777" w:rsidR="000E0000" w:rsidRDefault="000E0000" w:rsidP="000E0000">
      <w:pPr>
        <w:jc w:val="both"/>
      </w:pPr>
      <w:r>
        <w:t xml:space="preserve">In legacy CSI report with </w:t>
      </w:r>
      <w:r w:rsidRPr="00AD3104">
        <w:rPr>
          <w:i/>
          <w:iCs/>
        </w:rPr>
        <w:t>periodic CSI-RS</w:t>
      </w:r>
      <w:r>
        <w:t xml:space="preserve">, the UE is usually expected to collect the latest CSI-RS in anticipation of a DCI trigger. However, for Doppler CSI, UE cannot be expected to buffer all </w:t>
      </w:r>
      <m:oMath>
        <m:r>
          <w:rPr>
            <w:rFonts w:ascii="Cambria Math" w:hAnsi="Cambria Math"/>
          </w:rPr>
          <m:t>K</m:t>
        </m:r>
      </m:oMath>
      <w:r>
        <w:t xml:space="preserve"> CSI-RS occasions. Certain high-end UEs may collect all </w:t>
      </w:r>
      <m:oMath>
        <m:r>
          <w:rPr>
            <w:rFonts w:ascii="Cambria Math" w:hAnsi="Cambria Math"/>
          </w:rPr>
          <m:t>K</m:t>
        </m:r>
      </m:oMath>
      <w:r>
        <w:t xml:space="preserve"> periodic CSI-RS occasions, while some other UEs may collect only a subset of the occasions. After collecting the CSI-RS occasions, the UE needs to perform channel prediction and SVD computation of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t xml:space="preserve"> predicted channels, before proceeding to perform FD and DD compression. To accommodate these computations, we propose that the CPU occupation is given by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=X⋅</m:t>
        </m:r>
        <m:sSub>
          <m:sSubPr>
            <m:ctrlPr>
              <w:rPr>
                <w:rFonts w:ascii="Cambria Math" w:hAnsi="Cambria Math"/>
                <w:i/>
              </w:rPr>
            </m:ctrlPr>
          </m:sSubPr>
          <m:e>
            <m:r>
              <w:rPr>
                <w:rFonts w:ascii="Cambria Math" w:hAnsi="Cambria Math"/>
              </w:rPr>
              <m:t>N</m:t>
            </m:r>
          </m:e>
          <m:sub>
            <m:r>
              <w:rPr>
                <w:rFonts w:ascii="Cambria Math" w:hAnsi="Cambria Math"/>
              </w:rPr>
              <m:t>4</m:t>
            </m:r>
          </m:sub>
        </m:sSub>
      </m:oMath>
      <w:r>
        <w:t xml:space="preserve">, where </w:t>
      </w:r>
      <m:oMath>
        <m:r>
          <w:rPr>
            <w:rFonts w:ascii="Cambria Math" w:hAnsi="Cambria Math"/>
          </w:rPr>
          <m:t>X</m:t>
        </m:r>
      </m:oMath>
      <w:r>
        <w:t xml:space="preserve"> takes into account the UE capability and implementation aspects of CSI-RS buffering and channel prediction.</w:t>
      </w:r>
    </w:p>
    <w:p w14:paraId="51621536" w14:textId="77777777" w:rsidR="000E0000" w:rsidRDefault="000E0000" w:rsidP="000E0000">
      <w:pPr>
        <w:jc w:val="both"/>
      </w:pPr>
      <w:r>
        <w:t xml:space="preserve">While the same rule can be applied to </w:t>
      </w:r>
      <w:r w:rsidRPr="00785CD1">
        <w:rPr>
          <w:i/>
          <w:iCs/>
        </w:rPr>
        <w:t>aperiodic CSI-RS</w:t>
      </w:r>
      <w:r>
        <w:t xml:space="preserve"> as well, the UE needs to account for the fact that all </w:t>
      </w:r>
      <m:oMath>
        <m:r>
          <w:rPr>
            <w:rFonts w:ascii="Cambria Math" w:hAnsi="Cambria Math"/>
          </w:rPr>
          <m:t>K</m:t>
        </m:r>
      </m:oMath>
      <w:r>
        <w:t xml:space="preserve"> CSI-RS occasions will necessarily occur after the DCI trigger. Therefore, the CPU occupation needs to account for CSI-RS buffering, channel prediction, SVD computation of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t xml:space="preserve"> predicted channels, and FD, DD compression. From the agreed values of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t xml:space="preserve"> and </w:t>
      </w:r>
      <m:oMath>
        <m:r>
          <w:rPr>
            <w:rFonts w:ascii="Cambria Math" w:hAnsi="Cambria Math"/>
          </w:rPr>
          <m:t xml:space="preserve">K, </m:t>
        </m:r>
      </m:oMath>
      <w:r>
        <w:t xml:space="preserve">we have </w:t>
      </w:r>
      <m:oMath>
        <m:func>
          <m:funcPr>
            <m:ctrlPr>
              <w:rPr>
                <w:rFonts w:ascii="Cambria Math" w:hAnsi="Cambria Math"/>
              </w:rPr>
            </m:ctrlPr>
          </m:funcPr>
          <m:fName>
            <m:r>
              <m:rPr>
                <m:sty m:val="p"/>
              </m:rPr>
              <w:rPr>
                <w:rFonts w:ascii="Cambria Math" w:hAnsi="Cambria Math"/>
              </w:rPr>
              <m:t>max</m:t>
            </m:r>
            <m:ctrlPr>
              <w:rPr>
                <w:rFonts w:ascii="Cambria Math" w:hAnsi="Cambria Math"/>
                <w:i/>
              </w:rPr>
            </m:ctrlPr>
          </m:fName>
          <m:e>
            <m:d>
              <m:dPr>
                <m:ctrlPr>
                  <w:rPr>
                    <w:rFonts w:ascii="Cambria Math" w:hAnsi="Cambria Math"/>
                    <w:i/>
                  </w:rPr>
                </m:ctrlPr>
              </m:dPr>
              <m:e>
                <m:r>
                  <w:rPr>
                    <w:rFonts w:ascii="Cambria Math" w:hAnsi="Cambria Math"/>
                  </w:rPr>
                  <m:t>K,</m:t>
                </m:r>
                <m:sSub>
                  <m:sSubPr>
                    <m:ctrlPr>
                      <w:rPr>
                        <w:rFonts w:ascii="Cambria Math" w:hAnsi="Cambria Math"/>
                        <w:i/>
                      </w:rPr>
                    </m:ctrlPr>
                  </m:sSubPr>
                  <m:e>
                    <m:r>
                      <w:rPr>
                        <w:rFonts w:ascii="Cambria Math" w:hAnsi="Cambria Math"/>
                      </w:rPr>
                      <m:t>N</m:t>
                    </m:r>
                  </m:e>
                  <m:sub>
                    <m:r>
                      <w:rPr>
                        <w:rFonts w:ascii="Cambria Math" w:hAnsi="Cambria Math"/>
                      </w:rPr>
                      <m:t>4</m:t>
                    </m:r>
                  </m:sub>
                </m:sSub>
              </m:e>
            </m:d>
          </m:e>
        </m:func>
        <m:r>
          <w:rPr>
            <w:rFonts w:ascii="Cambria Math" w:hAnsi="Cambria Math"/>
          </w:rPr>
          <m:t>=K</m:t>
        </m:r>
      </m:oMath>
      <w:r>
        <w:t xml:space="preserve">. Therefore, we propose the CPU occupation rule to be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=X⋅K</m:t>
        </m:r>
      </m:oMath>
      <w:r>
        <w:t xml:space="preserve">, where, as before, </w:t>
      </w:r>
      <m:oMath>
        <m:r>
          <w:rPr>
            <w:rFonts w:ascii="Cambria Math" w:hAnsi="Cambria Math"/>
          </w:rPr>
          <m:t>X</m:t>
        </m:r>
      </m:oMath>
      <w:r>
        <w:t xml:space="preserve"> takes into account the UE capability and implementation aspects of CSI-RS buffering, channel prediction, and precoder computation.</w:t>
      </w:r>
    </w:p>
    <w:p w14:paraId="3AD486D8" w14:textId="77777777" w:rsidR="000E0000" w:rsidRDefault="000E0000" w:rsidP="000E0000">
      <w:pPr>
        <w:jc w:val="both"/>
      </w:pPr>
      <w:r w:rsidRPr="001D401B">
        <w:rPr>
          <w:b/>
          <w:bCs/>
        </w:rPr>
        <w:lastRenderedPageBreak/>
        <w:t>Observation</w:t>
      </w:r>
      <w:r>
        <w:rPr>
          <w:b/>
          <w:bCs/>
        </w:rPr>
        <w:t xml:space="preserve"> 2</w:t>
      </w:r>
      <w:r w:rsidRPr="001D401B">
        <w:rPr>
          <w:b/>
          <w:bCs/>
        </w:rPr>
        <w:t>:</w:t>
      </w:r>
      <w:r>
        <w:t xml:space="preserve"> CPU occupation rule needs to accommodate the buffering of </w:t>
      </w:r>
      <m:oMath>
        <m:r>
          <w:rPr>
            <w:rFonts w:ascii="Cambria Math" w:hAnsi="Cambria Math"/>
          </w:rPr>
          <m:t>≤K</m:t>
        </m:r>
      </m:oMath>
      <w:r>
        <w:t xml:space="preserve"> CSI-RS occasions in addition to channel prediction, SVD computation of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t xml:space="preserve"> channel matrices, and FD and DD compression.</w:t>
      </w:r>
    </w:p>
    <w:p w14:paraId="0645D83A" w14:textId="77777777" w:rsidR="000E0000" w:rsidRDefault="000E0000" w:rsidP="000E0000">
      <w:pPr>
        <w:jc w:val="both"/>
        <w:rPr>
          <w:lang w:val="en-GB" w:eastAsia="zh-TW"/>
        </w:rPr>
      </w:pPr>
      <w:r w:rsidRPr="001D401B">
        <w:rPr>
          <w:b/>
          <w:bCs/>
        </w:rPr>
        <w:t>Proposal</w:t>
      </w:r>
      <w:r>
        <w:rPr>
          <w:b/>
          <w:bCs/>
        </w:rPr>
        <w:t xml:space="preserve"> 2</w:t>
      </w:r>
      <w:r w:rsidRPr="001D401B">
        <w:rPr>
          <w:b/>
          <w:bCs/>
        </w:rPr>
        <w:t>:</w:t>
      </w:r>
      <w:r>
        <w:t xml:space="preserve"> For </w:t>
      </w:r>
      <w:r>
        <w:rPr>
          <w:rFonts w:cs="Times"/>
        </w:rPr>
        <w:t xml:space="preserve">Rel-18 Type-II codebook refinement for high/medium velocities, define the CPU occupation rule as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=X⋅</m:t>
        </m:r>
        <m:sSub>
          <m:sSubPr>
            <m:ctrlPr>
              <w:rPr>
                <w:rFonts w:ascii="Cambria Math" w:hAnsi="Cambria Math"/>
                <w:i/>
              </w:rPr>
            </m:ctrlPr>
          </m:sSubPr>
          <m:e>
            <m:r>
              <w:rPr>
                <w:rFonts w:ascii="Cambria Math" w:hAnsi="Cambria Math"/>
              </w:rPr>
              <m:t>N</m:t>
            </m:r>
          </m:e>
          <m:sub>
            <m:r>
              <w:rPr>
                <w:rFonts w:ascii="Cambria Math" w:hAnsi="Cambria Math"/>
              </w:rPr>
              <m:t>4</m:t>
            </m:r>
          </m:sub>
        </m:sSub>
      </m:oMath>
      <w:r>
        <w:rPr>
          <w:rFonts w:cs="Times"/>
        </w:rPr>
        <w:t xml:space="preserve"> for periodic CSI-RS and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=X⋅K</m:t>
        </m:r>
      </m:oMath>
      <w:r>
        <w:rPr>
          <w:rFonts w:cs="Times"/>
        </w:rPr>
        <w:t xml:space="preserve"> for aperiodic CSI-RS, where </w:t>
      </w:r>
      <m:oMath>
        <m:r>
          <w:rPr>
            <w:rFonts w:ascii="Cambria Math" w:hAnsi="Cambria Math"/>
          </w:rPr>
          <m:t>X</m:t>
        </m:r>
      </m:oMath>
      <w:r>
        <w:rPr>
          <w:rFonts w:cs="Times"/>
        </w:rPr>
        <w:t xml:space="preserve"> takes into account the UE capability </w:t>
      </w:r>
      <w:r>
        <w:t>and implementation aspects of CSI-RS buffering and channel prediction.</w:t>
      </w:r>
    </w:p>
    <w:p w14:paraId="31E6BD45" w14:textId="687ADC7B" w:rsidR="009E4AF1" w:rsidRDefault="00BD724F" w:rsidP="00E74699">
      <w:pPr>
        <w:pStyle w:val="Heading2"/>
        <w:numPr>
          <w:ilvl w:val="1"/>
          <w:numId w:val="1"/>
        </w:numPr>
      </w:pPr>
      <w:r>
        <w:t>Time-domain channel properties (TDCP)</w:t>
      </w:r>
    </w:p>
    <w:p w14:paraId="0554D82C" w14:textId="75B31332" w:rsidR="000E0000" w:rsidRDefault="000E0000" w:rsidP="000E0000">
      <w:pPr>
        <w:pStyle w:val="Heading3"/>
      </w:pPr>
      <w:r>
        <w:t>2.3.1 TRS configurations</w:t>
      </w:r>
    </w:p>
    <w:p w14:paraId="4849143D" w14:textId="77777777" w:rsidR="00E07099" w:rsidRDefault="00E07099" w:rsidP="000E0000">
      <w:pPr>
        <w:rPr>
          <w:lang w:val="en-GB"/>
        </w:rPr>
      </w:pPr>
      <w:r w:rsidRPr="00E07099">
        <w:rPr>
          <w:lang w:val="en-GB"/>
        </w:rPr>
        <w:t>In RAN1 #112-bis-e, the following agreement</w:t>
      </w:r>
      <w:r w:rsidR="000A7E6B">
        <w:rPr>
          <w:lang w:val="en-GB"/>
        </w:rPr>
        <w:t>s</w:t>
      </w:r>
      <w:r w:rsidRPr="00E07099">
        <w:rPr>
          <w:lang w:val="en-GB"/>
        </w:rPr>
        <w:t xml:space="preserve"> </w:t>
      </w:r>
      <w:r w:rsidR="000A7E6B">
        <w:rPr>
          <w:lang w:val="en-GB"/>
        </w:rPr>
        <w:t>were</w:t>
      </w:r>
      <w:r w:rsidRPr="00E07099">
        <w:rPr>
          <w:lang w:val="en-GB"/>
        </w:rPr>
        <w:t xml:space="preserve"> made regarding TDCP reporting [2]:</w:t>
      </w:r>
    </w:p>
    <w:tbl>
      <w:tblPr>
        <w:tblStyle w:val="TableGrid"/>
        <w:tblW w:w="0" w:type="auto"/>
        <w:tblLook w:val="04A0" w:firstRow="1" w:lastRow="0" w:firstColumn="1" w:lastColumn="0" w:noHBand="0" w:noVBand="1"/>
      </w:tblPr>
      <w:tblGrid>
        <w:gridCol w:w="9631"/>
      </w:tblGrid>
      <w:tr w:rsidR="000E0000" w14:paraId="2C82F769" w14:textId="77777777" w:rsidTr="000E0000">
        <w:trPr>
          <w:trHeight w:val="3383"/>
        </w:trPr>
        <w:tc>
          <w:tcPr>
            <w:tcW w:w="9802" w:type="dxa"/>
          </w:tcPr>
          <w:p w14:paraId="369A4DB0" w14:textId="77777777" w:rsidR="000E0000" w:rsidRPr="00A1265A" w:rsidRDefault="000E0000" w:rsidP="000E0000">
            <w:pPr>
              <w:spacing w:after="0"/>
              <w:rPr>
                <w:rFonts w:eastAsia="Times New Roman"/>
                <w:sz w:val="28"/>
                <w:szCs w:val="28"/>
                <w:lang w:eastAsia="zh-CN"/>
              </w:rPr>
            </w:pPr>
            <w:r w:rsidRPr="00A1265A">
              <w:rPr>
                <w:rFonts w:ascii="Times" w:eastAsia="Times New Roman" w:hAnsi="Times" w:cs="Times"/>
                <w:b/>
                <w:bCs/>
                <w:color w:val="222222"/>
                <w:kern w:val="24"/>
                <w:szCs w:val="22"/>
                <w:highlight w:val="green"/>
                <w:lang w:val="en-GB" w:eastAsia="zh-CN"/>
              </w:rPr>
              <w:t>Agreement</w:t>
            </w:r>
          </w:p>
          <w:p w14:paraId="58A3377F" w14:textId="77777777" w:rsidR="000E0000" w:rsidRPr="00A1265A" w:rsidRDefault="000E0000" w:rsidP="000E0000">
            <w:pPr>
              <w:spacing w:after="0"/>
              <w:rPr>
                <w:rFonts w:eastAsia="Times New Roman"/>
                <w:sz w:val="28"/>
                <w:szCs w:val="28"/>
                <w:lang w:eastAsia="zh-CN"/>
              </w:rPr>
            </w:pPr>
            <w:r w:rsidRPr="00A1265A">
              <w:rPr>
                <w:rFonts w:eastAsia="Batang"/>
                <w:color w:val="000000"/>
                <w:kern w:val="24"/>
                <w:szCs w:val="22"/>
                <w:lang w:val="en-GB" w:eastAsia="zh-CN"/>
              </w:rPr>
              <w:t xml:space="preserve">For the Rel-18 TRS-based TDCP reporting, for TDCP measurement and calculation, confirm the following working assumption as an agreement with the following </w:t>
            </w:r>
            <w:r w:rsidRPr="00A1265A">
              <w:rPr>
                <w:rFonts w:eastAsia="Batang"/>
                <w:color w:val="FF0000"/>
                <w:kern w:val="24"/>
                <w:szCs w:val="22"/>
                <w:lang w:val="en-GB" w:eastAsia="zh-CN"/>
              </w:rPr>
              <w:t>change</w:t>
            </w:r>
          </w:p>
          <w:p w14:paraId="0894E5D2" w14:textId="77777777" w:rsidR="000E0000" w:rsidRPr="00A1265A" w:rsidRDefault="000E0000" w:rsidP="000E0000">
            <w:pPr>
              <w:numPr>
                <w:ilvl w:val="0"/>
                <w:numId w:val="42"/>
              </w:numPr>
              <w:spacing w:after="0"/>
              <w:ind w:left="1267"/>
              <w:contextualSpacing/>
              <w:rPr>
                <w:rFonts w:eastAsia="Times New Roman"/>
                <w:szCs w:val="28"/>
                <w:lang w:eastAsia="zh-CN"/>
              </w:rPr>
            </w:pPr>
            <w:r w:rsidRPr="00A1265A">
              <w:rPr>
                <w:rFonts w:eastAsia="Times New Roman"/>
                <w:color w:val="000000"/>
                <w:kern w:val="24"/>
                <w:szCs w:val="22"/>
                <w:lang w:val="en-GB" w:eastAsia="zh-CN"/>
              </w:rPr>
              <w:t>K</w:t>
            </w:r>
            <w:r w:rsidRPr="00A1265A">
              <w:rPr>
                <w:rFonts w:eastAsia="Times New Roman"/>
                <w:color w:val="000000"/>
                <w:kern w:val="24"/>
                <w:position w:val="-5"/>
                <w:szCs w:val="22"/>
                <w:vertAlign w:val="subscript"/>
                <w:lang w:val="en-GB" w:eastAsia="zh-CN"/>
              </w:rPr>
              <w:t>TRS</w:t>
            </w:r>
            <w:r w:rsidRPr="00A1265A">
              <w:rPr>
                <w:rFonts w:eastAsia="Times New Roman"/>
                <w:color w:val="000000"/>
                <w:kern w:val="24"/>
                <w:szCs w:val="22"/>
                <w:lang w:val="en-GB" w:eastAsia="zh-CN"/>
              </w:rPr>
              <w:t xml:space="preserve"> </w:t>
            </w:r>
            <w:r w:rsidRPr="00A1265A">
              <w:rPr>
                <w:rFonts w:eastAsia="Malgun Gothic"/>
                <w:color w:val="000000"/>
                <w:kern w:val="24"/>
                <w:szCs w:val="22"/>
                <w:lang w:val="en-GB" w:eastAsia="zh-CN"/>
              </w:rPr>
              <w:t>≥</w:t>
            </w:r>
            <w:r w:rsidRPr="00A1265A">
              <w:rPr>
                <w:rFonts w:eastAsia="Times New Roman"/>
                <w:color w:val="000000"/>
                <w:kern w:val="24"/>
                <w:szCs w:val="22"/>
                <w:lang w:val="en-GB" w:eastAsia="zh-CN"/>
              </w:rPr>
              <w:t xml:space="preserve">1 TRS resource set(s) can be configured in the CSI reporting setting when ReportQuantity is ‘tdcp’ </w:t>
            </w:r>
          </w:p>
          <w:p w14:paraId="5341653B" w14:textId="77777777" w:rsidR="000E0000" w:rsidRPr="00A1265A" w:rsidRDefault="000E0000" w:rsidP="000E0000">
            <w:pPr>
              <w:numPr>
                <w:ilvl w:val="1"/>
                <w:numId w:val="42"/>
              </w:numPr>
              <w:spacing w:after="0"/>
              <w:ind w:left="1771"/>
              <w:contextualSpacing/>
              <w:rPr>
                <w:rFonts w:eastAsia="Times New Roman"/>
                <w:szCs w:val="28"/>
                <w:lang w:eastAsia="zh-CN"/>
              </w:rPr>
            </w:pPr>
            <w:r w:rsidRPr="00A1265A">
              <w:rPr>
                <w:rFonts w:eastAsia="Times New Roman"/>
                <w:color w:val="000000"/>
                <w:kern w:val="24"/>
                <w:szCs w:val="22"/>
                <w:lang w:val="en-GB" w:eastAsia="zh-CN"/>
              </w:rPr>
              <w:t>Note: the TRS resource set(s) configured for TDCP report do not impact or impose any new requirements on the UE behavior when processing TRS used as QCL type A/D source for reception of PDxCH.</w:t>
            </w:r>
          </w:p>
          <w:p w14:paraId="0ED56E44" w14:textId="77777777" w:rsidR="000E0000" w:rsidRPr="00A1265A" w:rsidRDefault="000E0000" w:rsidP="000E0000">
            <w:pPr>
              <w:numPr>
                <w:ilvl w:val="0"/>
                <w:numId w:val="42"/>
              </w:numPr>
              <w:spacing w:after="0"/>
              <w:ind w:left="1267"/>
              <w:contextualSpacing/>
              <w:rPr>
                <w:rFonts w:eastAsia="Times New Roman"/>
                <w:szCs w:val="28"/>
                <w:lang w:eastAsia="zh-CN"/>
              </w:rPr>
            </w:pPr>
            <w:r w:rsidRPr="00A1265A">
              <w:rPr>
                <w:rFonts w:eastAsia="Times New Roman"/>
                <w:color w:val="000000"/>
                <w:kern w:val="24"/>
                <w:szCs w:val="22"/>
                <w:lang w:val="en-GB" w:eastAsia="zh-CN"/>
              </w:rPr>
              <w:t xml:space="preserve">No further </w:t>
            </w:r>
            <w:r w:rsidRPr="00A1265A">
              <w:rPr>
                <w:rFonts w:eastAsia="Times New Roman"/>
                <w:color w:val="000000"/>
                <w:kern w:val="24"/>
                <w:szCs w:val="22"/>
                <w:u w:val="single"/>
                <w:lang w:val="en-GB" w:eastAsia="zh-CN"/>
              </w:rPr>
              <w:t>spec</w:t>
            </w:r>
            <w:r w:rsidRPr="00A1265A">
              <w:rPr>
                <w:rFonts w:eastAsia="Times New Roman"/>
                <w:color w:val="000000"/>
                <w:kern w:val="24"/>
                <w:szCs w:val="22"/>
                <w:lang w:val="en-GB" w:eastAsia="zh-CN"/>
              </w:rPr>
              <w:t xml:space="preserve"> enhancement on TRS is supported </w:t>
            </w:r>
          </w:p>
          <w:p w14:paraId="2CF3D469" w14:textId="77777777" w:rsidR="000E0000" w:rsidRPr="00A1265A" w:rsidRDefault="000E0000" w:rsidP="000E0000">
            <w:pPr>
              <w:numPr>
                <w:ilvl w:val="0"/>
                <w:numId w:val="42"/>
              </w:numPr>
              <w:spacing w:after="0"/>
              <w:ind w:left="1267"/>
              <w:contextualSpacing/>
              <w:rPr>
                <w:rFonts w:eastAsia="Times New Roman"/>
                <w:szCs w:val="28"/>
                <w:lang w:eastAsia="zh-CN"/>
              </w:rPr>
            </w:pPr>
            <w:r w:rsidRPr="00A1265A">
              <w:rPr>
                <w:rFonts w:eastAsia="Times New Roman"/>
                <w:strike/>
                <w:color w:val="FF0000"/>
                <w:kern w:val="24"/>
                <w:szCs w:val="22"/>
                <w:lang w:val="en-GB" w:eastAsia="zh-CN"/>
              </w:rPr>
              <w:t>[</w:t>
            </w:r>
            <w:r w:rsidRPr="00A1265A">
              <w:rPr>
                <w:rFonts w:eastAsia="Times New Roman"/>
                <w:color w:val="000000"/>
                <w:kern w:val="24"/>
                <w:szCs w:val="22"/>
                <w:lang w:val="en-GB" w:eastAsia="zh-CN"/>
              </w:rPr>
              <w:t>All the TRS resources in the configured resource set(s) share the same RE locations</w:t>
            </w:r>
            <w:r w:rsidRPr="00A1265A">
              <w:rPr>
                <w:rFonts w:eastAsia="Times New Roman"/>
                <w:strike/>
                <w:color w:val="FF0000"/>
                <w:kern w:val="24"/>
                <w:szCs w:val="22"/>
                <w:lang w:val="en-GB" w:eastAsia="zh-CN"/>
              </w:rPr>
              <w:t>]</w:t>
            </w:r>
          </w:p>
          <w:p w14:paraId="4D58099D" w14:textId="77777777" w:rsidR="000E0000" w:rsidRPr="00A1265A" w:rsidRDefault="000E0000" w:rsidP="000E0000">
            <w:pPr>
              <w:spacing w:after="0"/>
              <w:rPr>
                <w:rFonts w:eastAsia="Times New Roman" w:cs="+mn-cs"/>
                <w:color w:val="000000"/>
                <w:kern w:val="24"/>
                <w:szCs w:val="22"/>
                <w:lang w:val="en-GB" w:eastAsia="zh-CN"/>
              </w:rPr>
            </w:pPr>
            <w:r w:rsidRPr="00A1265A">
              <w:rPr>
                <w:rFonts w:eastAsia="Times New Roman" w:cs="+mn-cs"/>
                <w:color w:val="000000"/>
                <w:kern w:val="24"/>
                <w:szCs w:val="22"/>
                <w:lang w:val="en-GB" w:eastAsia="zh-CN"/>
              </w:rPr>
              <w:t xml:space="preserve">FFS: Whether to add further restrictions on the TRS resource set(s) on, e.g. QCL relationship, power control, </w:t>
            </w:r>
            <w:r w:rsidRPr="00A1265A">
              <w:rPr>
                <w:rFonts w:eastAsia="Times New Roman" w:cs="+mn-cs"/>
                <w:strike/>
                <w:color w:val="FF0000"/>
                <w:kern w:val="24"/>
                <w:szCs w:val="22"/>
                <w:lang w:val="en-GB" w:eastAsia="zh-CN"/>
              </w:rPr>
              <w:t>[RE location],</w:t>
            </w:r>
            <w:r w:rsidRPr="00A1265A">
              <w:rPr>
                <w:rFonts w:eastAsia="Times New Roman" w:cs="+mn-cs"/>
                <w:color w:val="FF0000"/>
                <w:kern w:val="24"/>
                <w:szCs w:val="22"/>
                <w:lang w:val="en-GB" w:eastAsia="zh-CN"/>
              </w:rPr>
              <w:t xml:space="preserve"> </w:t>
            </w:r>
            <w:r w:rsidRPr="00A1265A">
              <w:rPr>
                <w:rFonts w:eastAsia="Times New Roman" w:cs="+mn-cs"/>
                <w:color w:val="000000"/>
                <w:kern w:val="24"/>
                <w:szCs w:val="22"/>
                <w:lang w:val="en-GB" w:eastAsia="zh-CN"/>
              </w:rPr>
              <w:t>slot offset between TRS resource set(s), relation with resource set used for legacy usage</w:t>
            </w:r>
          </w:p>
          <w:p w14:paraId="50D04CDC" w14:textId="77777777" w:rsidR="000E0000" w:rsidRPr="00A1265A" w:rsidRDefault="000E0000" w:rsidP="000E0000">
            <w:pPr>
              <w:spacing w:after="0"/>
              <w:rPr>
                <w:rFonts w:eastAsia="Times New Roman" w:cs="+mn-cs"/>
                <w:color w:val="000000"/>
                <w:kern w:val="24"/>
                <w:sz w:val="28"/>
                <w:szCs w:val="28"/>
                <w:lang w:eastAsia="zh-CN"/>
              </w:rPr>
            </w:pPr>
          </w:p>
          <w:p w14:paraId="13FEAF0B" w14:textId="77777777" w:rsidR="000E0000" w:rsidRPr="00A1265A" w:rsidRDefault="000E0000" w:rsidP="000E0000">
            <w:pPr>
              <w:spacing w:after="0"/>
              <w:rPr>
                <w:rFonts w:eastAsia="Times New Roman"/>
                <w:sz w:val="28"/>
                <w:szCs w:val="28"/>
                <w:lang w:eastAsia="zh-CN"/>
              </w:rPr>
            </w:pPr>
            <w:r w:rsidRPr="00A1265A">
              <w:rPr>
                <w:rFonts w:ascii="Times" w:eastAsia="Malgun Gothic" w:hAnsi="Times"/>
                <w:b/>
                <w:bCs/>
                <w:color w:val="000000"/>
                <w:kern w:val="24"/>
                <w:szCs w:val="22"/>
                <w:highlight w:val="green"/>
                <w:lang w:val="en-GB" w:eastAsia="zh-CN"/>
              </w:rPr>
              <w:t>Agreement</w:t>
            </w:r>
          </w:p>
          <w:p w14:paraId="2C8DE761" w14:textId="77777777" w:rsidR="000E0000" w:rsidRPr="00A1265A" w:rsidRDefault="000E0000" w:rsidP="000E0000">
            <w:pPr>
              <w:spacing w:after="0"/>
              <w:rPr>
                <w:rFonts w:eastAsia="Times New Roman"/>
                <w:sz w:val="28"/>
                <w:szCs w:val="28"/>
                <w:lang w:eastAsia="zh-CN"/>
              </w:rPr>
            </w:pPr>
            <w:r w:rsidRPr="00A1265A">
              <w:rPr>
                <w:rFonts w:ascii="Times" w:eastAsia="Malgun Gothic" w:hAnsi="Times"/>
                <w:color w:val="000000"/>
                <w:kern w:val="24"/>
                <w:szCs w:val="22"/>
                <w:lang w:val="en-GB" w:eastAsia="zh-CN"/>
              </w:rPr>
              <w:t>For the Rel-18 TRS-based TDCP reporting, for TDCP measurement and calculation, at least the following restrictions are supported:</w:t>
            </w:r>
          </w:p>
          <w:p w14:paraId="5AF2386C" w14:textId="77777777" w:rsidR="000E0000" w:rsidRPr="00A1265A" w:rsidRDefault="000E0000" w:rsidP="000E0000">
            <w:pPr>
              <w:numPr>
                <w:ilvl w:val="0"/>
                <w:numId w:val="43"/>
              </w:numPr>
              <w:spacing w:after="0"/>
              <w:ind w:left="1267"/>
              <w:contextualSpacing/>
              <w:rPr>
                <w:rFonts w:eastAsia="Times New Roman"/>
                <w:szCs w:val="28"/>
                <w:lang w:eastAsia="zh-CN"/>
              </w:rPr>
            </w:pPr>
            <w:r w:rsidRPr="00A1265A">
              <w:rPr>
                <w:rFonts w:ascii="Times" w:eastAsia="Malgun Gothic" w:hAnsi="Times"/>
                <w:color w:val="000000"/>
                <w:kern w:val="24"/>
                <w:szCs w:val="22"/>
                <w:lang w:val="en-GB" w:eastAsia="zh-CN"/>
              </w:rPr>
              <w:t>When all the configured K</w:t>
            </w:r>
            <w:r w:rsidRPr="00A1265A">
              <w:rPr>
                <w:rFonts w:ascii="Times" w:eastAsia="Malgun Gothic" w:hAnsi="Times"/>
                <w:color w:val="000000"/>
                <w:kern w:val="24"/>
                <w:position w:val="-5"/>
                <w:szCs w:val="22"/>
                <w:vertAlign w:val="subscript"/>
                <w:lang w:val="en-GB" w:eastAsia="zh-CN"/>
              </w:rPr>
              <w:t>TRS</w:t>
            </w:r>
            <w:r w:rsidRPr="00A1265A">
              <w:rPr>
                <w:rFonts w:ascii="Times" w:eastAsia="Malgun Gothic" w:hAnsi="Times"/>
                <w:color w:val="000000"/>
                <w:kern w:val="24"/>
                <w:szCs w:val="22"/>
                <w:lang w:val="en-GB" w:eastAsia="zh-CN"/>
              </w:rPr>
              <w:t xml:space="preserve"> resource sets are periodic, the UE can assume that all the resource sets share a same QCL-Type-A/C and, if applicable, Type-D source </w:t>
            </w:r>
          </w:p>
          <w:p w14:paraId="196B6C51" w14:textId="77777777" w:rsidR="000E0000" w:rsidRPr="00A1265A" w:rsidRDefault="000E0000" w:rsidP="000E0000">
            <w:pPr>
              <w:numPr>
                <w:ilvl w:val="0"/>
                <w:numId w:val="43"/>
              </w:numPr>
              <w:spacing w:after="0"/>
              <w:ind w:left="1267"/>
              <w:contextualSpacing/>
              <w:rPr>
                <w:rFonts w:eastAsia="Times New Roman"/>
                <w:szCs w:val="28"/>
                <w:lang w:eastAsia="zh-CN"/>
              </w:rPr>
            </w:pPr>
            <w:r w:rsidRPr="00A1265A">
              <w:rPr>
                <w:rFonts w:ascii="Times" w:eastAsia="Malgun Gothic" w:hAnsi="Times"/>
                <w:color w:val="000000"/>
                <w:kern w:val="24"/>
                <w:szCs w:val="22"/>
                <w:lang w:val="en-GB" w:eastAsia="zh-CN"/>
              </w:rPr>
              <w:t>If the joint use of P and AP-TRS resource sets is supported for TDCP measurement and calculation, when one of the K</w:t>
            </w:r>
            <w:r w:rsidRPr="00A1265A">
              <w:rPr>
                <w:rFonts w:ascii="Times" w:eastAsia="Malgun Gothic" w:hAnsi="Times"/>
                <w:color w:val="000000"/>
                <w:kern w:val="24"/>
                <w:position w:val="-5"/>
                <w:szCs w:val="22"/>
                <w:vertAlign w:val="subscript"/>
                <w:lang w:val="en-GB" w:eastAsia="zh-CN"/>
              </w:rPr>
              <w:t>TRS</w:t>
            </w:r>
            <w:r w:rsidRPr="00A1265A">
              <w:rPr>
                <w:rFonts w:ascii="Times" w:eastAsia="Malgun Gothic" w:hAnsi="Times"/>
                <w:color w:val="000000"/>
                <w:kern w:val="24"/>
                <w:szCs w:val="22"/>
                <w:lang w:val="en-GB" w:eastAsia="zh-CN"/>
              </w:rPr>
              <w:t xml:space="preserve"> configured resource sets is aperiodic, the UE can assume that the aperiodic resource set is configured with QCL-Type-A and, if applicable, Type-D source with the resources of the one of the (K</w:t>
            </w:r>
            <w:r w:rsidRPr="00A1265A">
              <w:rPr>
                <w:rFonts w:ascii="Times" w:eastAsia="Malgun Gothic" w:hAnsi="Times"/>
                <w:color w:val="000000"/>
                <w:kern w:val="24"/>
                <w:position w:val="-5"/>
                <w:szCs w:val="22"/>
                <w:vertAlign w:val="subscript"/>
                <w:lang w:val="en-GB" w:eastAsia="zh-CN"/>
              </w:rPr>
              <w:t>TRS</w:t>
            </w:r>
            <w:r w:rsidRPr="00A1265A">
              <w:rPr>
                <w:rFonts w:ascii="Times" w:eastAsia="Malgun Gothic" w:hAnsi="Times"/>
                <w:color w:val="000000"/>
                <w:kern w:val="24"/>
                <w:szCs w:val="22"/>
                <w:lang w:val="en-GB" w:eastAsia="zh-CN"/>
              </w:rPr>
              <w:t xml:space="preserve"> – 1) periodic TRS resource sets </w:t>
            </w:r>
          </w:p>
          <w:p w14:paraId="4927142D" w14:textId="77777777" w:rsidR="000E0000" w:rsidRPr="00A1265A" w:rsidRDefault="000E0000" w:rsidP="000E0000">
            <w:pPr>
              <w:numPr>
                <w:ilvl w:val="1"/>
                <w:numId w:val="43"/>
              </w:numPr>
              <w:spacing w:after="0"/>
              <w:ind w:left="1771"/>
              <w:contextualSpacing/>
              <w:rPr>
                <w:rFonts w:eastAsia="Times New Roman"/>
                <w:szCs w:val="28"/>
                <w:lang w:eastAsia="zh-CN"/>
              </w:rPr>
            </w:pPr>
            <w:r w:rsidRPr="00A1265A">
              <w:rPr>
                <w:rFonts w:ascii="Times" w:eastAsia="Malgun Gothic" w:hAnsi="Times"/>
                <w:color w:val="000000"/>
                <w:kern w:val="24"/>
                <w:szCs w:val="22"/>
                <w:lang w:val="en-GB" w:eastAsia="zh-CN"/>
              </w:rPr>
              <w:t>Note: Following the legacy specification, no more than 1 of the K</w:t>
            </w:r>
            <w:r w:rsidRPr="00A1265A">
              <w:rPr>
                <w:rFonts w:ascii="Times" w:eastAsia="Malgun Gothic" w:hAnsi="Times"/>
                <w:color w:val="000000"/>
                <w:kern w:val="24"/>
                <w:position w:val="-5"/>
                <w:szCs w:val="22"/>
                <w:vertAlign w:val="subscript"/>
                <w:lang w:val="en-GB" w:eastAsia="zh-CN"/>
              </w:rPr>
              <w:t>TRS</w:t>
            </w:r>
            <w:r w:rsidRPr="00A1265A">
              <w:rPr>
                <w:rFonts w:ascii="Times" w:eastAsia="Malgun Gothic" w:hAnsi="Times"/>
                <w:color w:val="000000"/>
                <w:kern w:val="24"/>
                <w:szCs w:val="22"/>
                <w:lang w:val="en-GB" w:eastAsia="zh-CN"/>
              </w:rPr>
              <w:t xml:space="preserve"> resource sets is aperiodic </w:t>
            </w:r>
          </w:p>
          <w:p w14:paraId="7B3DD763" w14:textId="77777777" w:rsidR="000E0000" w:rsidRPr="00A1265A" w:rsidRDefault="000E0000" w:rsidP="000E0000">
            <w:pPr>
              <w:numPr>
                <w:ilvl w:val="1"/>
                <w:numId w:val="43"/>
              </w:numPr>
              <w:spacing w:after="0"/>
              <w:ind w:left="1771"/>
              <w:contextualSpacing/>
              <w:rPr>
                <w:rFonts w:eastAsia="Times New Roman"/>
                <w:szCs w:val="28"/>
                <w:lang w:eastAsia="zh-CN"/>
              </w:rPr>
            </w:pPr>
            <w:r w:rsidRPr="00A1265A">
              <w:rPr>
                <w:rFonts w:ascii="Times" w:eastAsia="Malgun Gothic" w:hAnsi="Times"/>
                <w:color w:val="000000"/>
                <w:kern w:val="24"/>
                <w:szCs w:val="22"/>
                <w:lang w:val="en-GB" w:eastAsia="zh-CN"/>
              </w:rPr>
              <w:t xml:space="preserve">TBD (RAN1#113): whether the joint use of P and AP-TRS resource sets is supported for TDCP measurement and calculation or not </w:t>
            </w:r>
          </w:p>
          <w:p w14:paraId="21289258" w14:textId="0E7CF764" w:rsidR="000E0000" w:rsidRPr="000A7E6B" w:rsidRDefault="000E0000" w:rsidP="000E0000">
            <w:pPr>
              <w:spacing w:after="0"/>
              <w:rPr>
                <w:rFonts w:eastAsia="Times New Roman"/>
                <w:sz w:val="24"/>
                <w:szCs w:val="24"/>
                <w:lang w:eastAsia="zh-CN"/>
              </w:rPr>
            </w:pPr>
            <w:r w:rsidRPr="00A1265A">
              <w:rPr>
                <w:rFonts w:ascii="Times" w:eastAsia="Batang" w:hAnsi="Times"/>
                <w:color w:val="000000"/>
                <w:kern w:val="24"/>
                <w:szCs w:val="22"/>
                <w:lang w:val="en-GB" w:eastAsia="zh-CN"/>
              </w:rPr>
              <w:t>FFS: whether the UE shall assume the same antenna port for the CSI-RS resources in all the resource sets</w:t>
            </w:r>
          </w:p>
        </w:tc>
      </w:tr>
    </w:tbl>
    <w:p w14:paraId="71F46810" w14:textId="4FA306AD" w:rsidR="000E0000" w:rsidRDefault="000E0000" w:rsidP="000E0000"/>
    <w:p w14:paraId="3C43FE94" w14:textId="0B50FFD2" w:rsidR="00C076D7" w:rsidRDefault="00C076D7" w:rsidP="00C076D7">
      <w:pPr>
        <w:rPr>
          <w:rFonts w:eastAsia="Times New Roman" w:cs="+mn-cs"/>
          <w:color w:val="000000"/>
          <w:kern w:val="24"/>
          <w:szCs w:val="22"/>
          <w:lang w:eastAsia="zh-CN"/>
        </w:rPr>
      </w:pPr>
      <w:r>
        <w:rPr>
          <w:rFonts w:eastAsia="Times New Roman" w:cs="+mn-cs"/>
          <w:color w:val="000000"/>
          <w:kern w:val="24"/>
          <w:szCs w:val="22"/>
          <w:lang w:eastAsia="zh-CN"/>
        </w:rPr>
        <w:t xml:space="preserve">When </w:t>
      </w:r>
      <m:oMath>
        <m:sSub>
          <m:sSubPr>
            <m:ctrlPr>
              <w:rPr>
                <w:rFonts w:ascii="Cambria Math" w:eastAsia="Times New Roman" w:hAnsi="Cambria Math" w:cs="+mn-cs"/>
                <w:i/>
                <w:color w:val="000000"/>
                <w:kern w:val="24"/>
                <w:szCs w:val="22"/>
                <w:lang w:eastAsia="zh-CN"/>
              </w:rPr>
            </m:ctrlPr>
          </m:sSubPr>
          <m:e>
            <m:r>
              <w:rPr>
                <w:rFonts w:ascii="Cambria Math" w:eastAsia="Times New Roman" w:hAnsi="Cambria Math" w:cs="+mn-cs"/>
                <w:color w:val="000000"/>
                <w:kern w:val="24"/>
                <w:szCs w:val="22"/>
                <w:lang w:eastAsia="zh-CN"/>
              </w:rPr>
              <m:t>K</m:t>
            </m:r>
          </m:e>
          <m:sub>
            <m:r>
              <w:rPr>
                <w:rFonts w:ascii="Cambria Math" w:eastAsia="Times New Roman" w:hAnsi="Cambria Math" w:cs="+mn-cs"/>
                <w:color w:val="000000"/>
                <w:kern w:val="24"/>
                <w:szCs w:val="22"/>
                <w:lang w:eastAsia="zh-CN"/>
              </w:rPr>
              <m:t>TRS</m:t>
            </m:r>
          </m:sub>
        </m:sSub>
        <m:r>
          <w:rPr>
            <w:rFonts w:ascii="Cambria Math" w:eastAsia="Times New Roman" w:hAnsi="Cambria Math" w:cs="+mn-cs"/>
            <w:color w:val="000000"/>
            <w:kern w:val="24"/>
            <w:szCs w:val="22"/>
            <w:lang w:eastAsia="zh-CN"/>
          </w:rPr>
          <m:t>&gt;1</m:t>
        </m:r>
      </m:oMath>
      <w:r>
        <w:rPr>
          <w:rFonts w:eastAsia="Times New Roman" w:cs="+mn-cs"/>
          <w:color w:val="000000"/>
          <w:kern w:val="24"/>
          <w:szCs w:val="22"/>
          <w:lang w:eastAsia="zh-CN"/>
        </w:rPr>
        <w:t xml:space="preserve"> TRS resources sets are configured, it is reasonable </w:t>
      </w:r>
      <w:r w:rsidR="00C83B73">
        <w:rPr>
          <w:rFonts w:eastAsia="Times New Roman" w:cs="+mn-cs"/>
          <w:color w:val="000000"/>
          <w:kern w:val="24"/>
          <w:szCs w:val="22"/>
          <w:lang w:eastAsia="zh-CN"/>
        </w:rPr>
        <w:t>assume that</w:t>
      </w:r>
      <w:r>
        <w:rPr>
          <w:rFonts w:eastAsia="Times New Roman" w:cs="+mn-cs"/>
          <w:color w:val="000000"/>
          <w:kern w:val="24"/>
          <w:szCs w:val="22"/>
          <w:lang w:eastAsia="zh-CN"/>
        </w:rPr>
        <w:t xml:space="preserve"> the power offset for all TRS resource sets should be identical.</w:t>
      </w:r>
    </w:p>
    <w:p w14:paraId="3D8B52C3" w14:textId="169BFA01" w:rsidR="00C076D7" w:rsidRPr="00C83B73" w:rsidRDefault="00C076D7" w:rsidP="00C83B73">
      <w:pPr>
        <w:rPr>
          <w:rFonts w:eastAsia="Times New Roman" w:cs="+mn-cs"/>
          <w:color w:val="000000"/>
          <w:kern w:val="24"/>
          <w:szCs w:val="22"/>
          <w:lang w:eastAsia="zh-CN"/>
        </w:rPr>
      </w:pPr>
      <w:r w:rsidRPr="00C076D7">
        <w:rPr>
          <w:rFonts w:eastAsia="Times New Roman" w:cs="+mn-cs"/>
          <w:b/>
          <w:bCs/>
          <w:i/>
          <w:iCs/>
          <w:color w:val="000000"/>
          <w:kern w:val="24"/>
          <w:szCs w:val="22"/>
          <w:lang w:eastAsia="zh-CN"/>
        </w:rPr>
        <w:t>Proposal</w:t>
      </w:r>
      <w:r w:rsidR="00E71D0D">
        <w:rPr>
          <w:rFonts w:eastAsia="Times New Roman" w:cs="+mn-cs"/>
          <w:b/>
          <w:bCs/>
          <w:i/>
          <w:iCs/>
          <w:color w:val="000000"/>
          <w:kern w:val="24"/>
          <w:szCs w:val="22"/>
          <w:lang w:eastAsia="zh-CN"/>
        </w:rPr>
        <w:t xml:space="preserve"> 3</w:t>
      </w:r>
      <w:r>
        <w:rPr>
          <w:rFonts w:eastAsia="Times New Roman" w:cs="+mn-cs"/>
          <w:color w:val="000000"/>
          <w:kern w:val="24"/>
          <w:szCs w:val="22"/>
          <w:lang w:eastAsia="zh-CN"/>
        </w:rPr>
        <w:t xml:space="preserve">: When </w:t>
      </w:r>
      <m:oMath>
        <m:sSub>
          <m:sSubPr>
            <m:ctrlPr>
              <w:rPr>
                <w:rFonts w:ascii="Cambria Math" w:eastAsia="Times New Roman" w:hAnsi="Cambria Math" w:cs="+mn-cs"/>
                <w:i/>
                <w:color w:val="000000"/>
                <w:kern w:val="24"/>
                <w:szCs w:val="22"/>
                <w:lang w:eastAsia="zh-CN"/>
              </w:rPr>
            </m:ctrlPr>
          </m:sSubPr>
          <m:e>
            <m:r>
              <w:rPr>
                <w:rFonts w:ascii="Cambria Math" w:eastAsia="Times New Roman" w:hAnsi="Cambria Math" w:cs="+mn-cs"/>
                <w:color w:val="000000"/>
                <w:kern w:val="24"/>
                <w:szCs w:val="22"/>
                <w:lang w:eastAsia="zh-CN"/>
              </w:rPr>
              <m:t>K</m:t>
            </m:r>
          </m:e>
          <m:sub>
            <m:r>
              <w:rPr>
                <w:rFonts w:ascii="Cambria Math" w:eastAsia="Times New Roman" w:hAnsi="Cambria Math" w:cs="+mn-cs"/>
                <w:color w:val="000000"/>
                <w:kern w:val="24"/>
                <w:szCs w:val="22"/>
                <w:lang w:eastAsia="zh-CN"/>
              </w:rPr>
              <m:t>TRS</m:t>
            </m:r>
          </m:sub>
        </m:sSub>
        <m:r>
          <w:rPr>
            <w:rFonts w:ascii="Cambria Math" w:eastAsia="Times New Roman" w:hAnsi="Cambria Math" w:cs="+mn-cs"/>
            <w:color w:val="000000"/>
            <w:kern w:val="24"/>
            <w:szCs w:val="22"/>
            <w:lang w:eastAsia="zh-CN"/>
          </w:rPr>
          <m:t>&gt;1</m:t>
        </m:r>
      </m:oMath>
      <w:r>
        <w:rPr>
          <w:rFonts w:eastAsia="Times New Roman" w:cs="+mn-cs"/>
          <w:color w:val="000000"/>
          <w:kern w:val="24"/>
          <w:szCs w:val="22"/>
          <w:lang w:eastAsia="zh-CN"/>
        </w:rPr>
        <w:t xml:space="preserve"> TRS resources sets are configured for TDCP calculation, the UE can assume that</w:t>
      </w:r>
      <w:r w:rsidR="00C83B73">
        <w:rPr>
          <w:rFonts w:eastAsia="Times New Roman" w:cs="+mn-cs"/>
          <w:color w:val="000000"/>
          <w:kern w:val="24"/>
          <w:szCs w:val="22"/>
          <w:lang w:eastAsia="zh-CN"/>
        </w:rPr>
        <w:t xml:space="preserve"> t</w:t>
      </w:r>
      <w:r w:rsidRPr="00C83B73">
        <w:rPr>
          <w:rFonts w:eastAsia="Times New Roman" w:cs="+mn-cs"/>
          <w:color w:val="000000"/>
          <w:kern w:val="24"/>
          <w:szCs w:val="22"/>
          <w:lang w:eastAsia="zh-CN"/>
        </w:rPr>
        <w:t xml:space="preserve">he same </w:t>
      </w:r>
      <w:r w:rsidR="00C83B73">
        <w:rPr>
          <w:rStyle w:val="ui-provider"/>
          <w:i/>
          <w:iCs/>
        </w:rPr>
        <w:t>powerControlOffset</w:t>
      </w:r>
      <w:r w:rsidR="00C83B73">
        <w:rPr>
          <w:rStyle w:val="ui-provider"/>
        </w:rPr>
        <w:t xml:space="preserve"> and </w:t>
      </w:r>
      <w:r w:rsidR="00C83B73" w:rsidRPr="00C83B73">
        <w:rPr>
          <w:rStyle w:val="ui-provider"/>
          <w:i/>
          <w:iCs/>
        </w:rPr>
        <w:t>powerControlOffsetSS</w:t>
      </w:r>
      <w:r w:rsidR="00C83B73" w:rsidRPr="00C83B73">
        <w:rPr>
          <w:rFonts w:eastAsia="Times New Roman" w:cs="+mn-cs"/>
          <w:color w:val="000000"/>
          <w:kern w:val="24"/>
          <w:szCs w:val="22"/>
          <w:lang w:eastAsia="zh-CN"/>
        </w:rPr>
        <w:t xml:space="preserve"> </w:t>
      </w:r>
      <w:r w:rsidR="00C83B73">
        <w:rPr>
          <w:rFonts w:eastAsia="Times New Roman" w:cs="+mn-cs"/>
          <w:color w:val="000000"/>
          <w:kern w:val="24"/>
          <w:szCs w:val="22"/>
          <w:lang w:eastAsia="zh-CN"/>
        </w:rPr>
        <w:t>are</w:t>
      </w:r>
      <w:r w:rsidRPr="00C83B73">
        <w:rPr>
          <w:rFonts w:eastAsia="Times New Roman" w:cs="+mn-cs"/>
          <w:color w:val="000000"/>
          <w:kern w:val="24"/>
          <w:szCs w:val="22"/>
          <w:lang w:eastAsia="zh-CN"/>
        </w:rPr>
        <w:t xml:space="preserve"> used for all TRS resource sets which are used for TDCP calculation.</w:t>
      </w:r>
    </w:p>
    <w:p w14:paraId="415E3796" w14:textId="0C036D40" w:rsidR="000E0000" w:rsidRDefault="000E0000" w:rsidP="000E0000">
      <w:pPr>
        <w:pStyle w:val="Heading3"/>
      </w:pPr>
      <w:r>
        <w:t>2.3.2 TDCP amplitude quantization</w:t>
      </w:r>
    </w:p>
    <w:p w14:paraId="0D9A6363" w14:textId="77777777" w:rsidR="00E07099" w:rsidRDefault="00E07099" w:rsidP="000E0000">
      <w:pPr>
        <w:rPr>
          <w:lang w:val="en-GB"/>
        </w:rPr>
      </w:pPr>
      <w:r w:rsidRPr="00E07099">
        <w:rPr>
          <w:lang w:val="en-GB"/>
        </w:rPr>
        <w:t>In RAN1 #112-bis-e, the following agreement</w:t>
      </w:r>
      <w:r w:rsidR="005D0B6C">
        <w:rPr>
          <w:lang w:val="en-GB"/>
        </w:rPr>
        <w:t>s</w:t>
      </w:r>
      <w:r w:rsidRPr="00E07099">
        <w:rPr>
          <w:lang w:val="en-GB"/>
        </w:rPr>
        <w:t xml:space="preserve"> w</w:t>
      </w:r>
      <w:r w:rsidR="005D0B6C">
        <w:rPr>
          <w:lang w:val="en-GB"/>
        </w:rPr>
        <w:t>ere</w:t>
      </w:r>
      <w:r w:rsidRPr="00E07099">
        <w:rPr>
          <w:lang w:val="en-GB"/>
        </w:rPr>
        <w:t xml:space="preserve"> made regarding TDCP reporting [2]:</w:t>
      </w:r>
    </w:p>
    <w:tbl>
      <w:tblPr>
        <w:tblStyle w:val="TableGrid"/>
        <w:tblW w:w="0" w:type="auto"/>
        <w:tblLook w:val="04A0" w:firstRow="1" w:lastRow="0" w:firstColumn="1" w:lastColumn="0" w:noHBand="0" w:noVBand="1"/>
      </w:tblPr>
      <w:tblGrid>
        <w:gridCol w:w="9631"/>
      </w:tblGrid>
      <w:tr w:rsidR="000E0000" w14:paraId="5165A80F" w14:textId="77777777" w:rsidTr="000E0000">
        <w:tc>
          <w:tcPr>
            <w:tcW w:w="9631" w:type="dxa"/>
          </w:tcPr>
          <w:p w14:paraId="76E38ED3" w14:textId="77777777" w:rsidR="000E0000" w:rsidRPr="00A1265A" w:rsidRDefault="000E0000" w:rsidP="000E0000">
            <w:pPr>
              <w:spacing w:after="0"/>
              <w:rPr>
                <w:rFonts w:eastAsia="Times New Roman"/>
                <w:sz w:val="28"/>
                <w:szCs w:val="28"/>
                <w:lang w:eastAsia="zh-CN"/>
              </w:rPr>
            </w:pPr>
            <w:r w:rsidRPr="00A1265A">
              <w:rPr>
                <w:rFonts w:ascii="Times" w:eastAsia="Batang" w:hAnsi="Times" w:cs="Times"/>
                <w:b/>
                <w:bCs/>
                <w:color w:val="000000"/>
                <w:kern w:val="24"/>
                <w:szCs w:val="22"/>
                <w:highlight w:val="green"/>
                <w:lang w:val="de-DE" w:eastAsia="zh-CN"/>
              </w:rPr>
              <w:lastRenderedPageBreak/>
              <w:t>Agreement</w:t>
            </w:r>
          </w:p>
          <w:p w14:paraId="12EB27E5" w14:textId="77777777" w:rsidR="000E0000" w:rsidRPr="00A1265A" w:rsidRDefault="000E0000" w:rsidP="000E0000">
            <w:pPr>
              <w:spacing w:after="0"/>
              <w:rPr>
                <w:rFonts w:eastAsia="Times New Roman"/>
                <w:sz w:val="28"/>
                <w:szCs w:val="28"/>
                <w:lang w:eastAsia="zh-CN"/>
              </w:rPr>
            </w:pPr>
            <w:r w:rsidRPr="00A1265A">
              <w:rPr>
                <w:rFonts w:ascii="Times" w:eastAsia="Malgun Gothic" w:hAnsi="Times" w:cs="Times"/>
                <w:color w:val="000000"/>
                <w:kern w:val="24"/>
                <w:szCs w:val="22"/>
                <w:lang w:val="en-GB" w:eastAsia="zh-CN"/>
              </w:rPr>
              <w:t xml:space="preserve">For the Rel-18 TRS-based TDCP reporting, regarding the quantization of wideband normalized amplitude value, </w:t>
            </w:r>
          </w:p>
          <w:p w14:paraId="62663DC0" w14:textId="77777777" w:rsidR="000E0000" w:rsidRPr="00A1265A" w:rsidRDefault="000E0000" w:rsidP="000E0000">
            <w:pPr>
              <w:spacing w:after="0"/>
              <w:rPr>
                <w:rFonts w:eastAsia="Times New Roman"/>
                <w:sz w:val="28"/>
                <w:szCs w:val="28"/>
                <w:lang w:eastAsia="zh-CN"/>
              </w:rPr>
            </w:pPr>
            <w:r w:rsidRPr="00A1265A">
              <w:rPr>
                <w:rFonts w:ascii="Times" w:eastAsia="Malgun Gothic" w:hAnsi="Times" w:cs="+mn-cs"/>
                <w:color w:val="000000"/>
                <w:kern w:val="24"/>
                <w:szCs w:val="22"/>
                <w:lang w:val="en-GB" w:eastAsia="zh-CN"/>
              </w:rPr>
              <w:t>At least the following size-</w:t>
            </w:r>
            <w:r w:rsidRPr="00A1265A">
              <w:rPr>
                <w:rFonts w:ascii="Times" w:eastAsia="Malgun Gothic" w:hAnsi="Times" w:cs="+mn-cs"/>
                <w:i/>
                <w:iCs/>
                <w:color w:val="000000"/>
                <w:kern w:val="24"/>
                <w:szCs w:val="22"/>
                <w:lang w:val="en-GB" w:eastAsia="zh-CN"/>
              </w:rPr>
              <w:t>Q</w:t>
            </w:r>
            <w:r w:rsidRPr="00A1265A">
              <w:rPr>
                <w:rFonts w:ascii="Times" w:eastAsia="Malgun Gothic" w:hAnsi="Times" w:cs="+mn-cs"/>
                <w:color w:val="000000"/>
                <w:kern w:val="24"/>
                <w:szCs w:val="22"/>
                <w:lang w:val="en-GB" w:eastAsia="zh-CN"/>
              </w:rPr>
              <w:t xml:space="preserve"> quantization alphabet is supported: </w:t>
            </w:r>
            <m:oMath>
              <m:d>
                <m:dPr>
                  <m:begChr m:val="{"/>
                  <m:endChr m:val="}"/>
                  <m:ctrlPr>
                    <w:rPr>
                      <w:rFonts w:ascii="Cambria Math" w:eastAsia="Malgun Gothic" w:hAnsi="Cambria Math" w:cs="+mn-cs"/>
                      <w:i/>
                      <w:iCs/>
                      <w:color w:val="000000"/>
                      <w:kern w:val="24"/>
                      <w:szCs w:val="22"/>
                      <w:lang w:eastAsia="zh-CN"/>
                    </w:rPr>
                  </m:ctrlPr>
                </m:dPr>
                <m:e>
                  <m:r>
                    <w:rPr>
                      <w:rFonts w:ascii="Cambria Math" w:eastAsia="Malgun Gothic" w:hAnsi="Cambria Math" w:cs="+mn-cs"/>
                      <w:color w:val="000000"/>
                      <w:kern w:val="24"/>
                      <w:szCs w:val="22"/>
                      <w:lang w:eastAsia="zh-CN"/>
                    </w:rPr>
                    <m:t>1-</m:t>
                  </m:r>
                  <m:sSup>
                    <m:sSupPr>
                      <m:ctrlPr>
                        <w:rPr>
                          <w:rFonts w:ascii="Cambria Math" w:eastAsia="Malgun Gothic" w:hAnsi="Cambria Math" w:cs="+mn-cs"/>
                          <w:i/>
                          <w:iCs/>
                          <w:color w:val="000000"/>
                          <w:kern w:val="24"/>
                          <w:szCs w:val="22"/>
                          <w:lang w:eastAsia="zh-CN"/>
                        </w:rPr>
                      </m:ctrlPr>
                    </m:sSupPr>
                    <m:e>
                      <m:r>
                        <w:rPr>
                          <w:rFonts w:ascii="Cambria Math" w:eastAsia="Malgun Gothic" w:hAnsi="Cambria Math" w:cs="+mn-cs"/>
                          <w:color w:val="000000"/>
                          <w:kern w:val="24"/>
                          <w:szCs w:val="22"/>
                          <w:lang w:eastAsia="zh-CN"/>
                        </w:rPr>
                        <m:t>2</m:t>
                      </m:r>
                    </m:e>
                    <m:sup>
                      <m:r>
                        <w:rPr>
                          <w:rFonts w:ascii="Cambria Math" w:eastAsia="Malgun Gothic" w:hAnsi="Cambria Math" w:cs="+mn-cs"/>
                          <w:color w:val="000000"/>
                          <w:kern w:val="24"/>
                          <w:szCs w:val="22"/>
                          <w:lang w:eastAsia="zh-CN"/>
                        </w:rPr>
                        <m:t>-</m:t>
                      </m:r>
                      <m:d>
                        <m:dPr>
                          <m:ctrlPr>
                            <w:rPr>
                              <w:rFonts w:ascii="Cambria Math" w:eastAsia="Malgun Gothic" w:hAnsi="Cambria Math" w:cs="+mn-cs"/>
                              <w:i/>
                              <w:iCs/>
                              <w:color w:val="000000"/>
                              <w:kern w:val="24"/>
                              <w:szCs w:val="22"/>
                              <w:lang w:eastAsia="zh-CN"/>
                            </w:rPr>
                          </m:ctrlPr>
                        </m:dPr>
                        <m:e>
                          <m:r>
                            <w:rPr>
                              <w:rFonts w:ascii="Cambria Math" w:eastAsia="Malgun Gothic" w:hAnsi="Cambria Math" w:cs="+mn-cs"/>
                              <w:color w:val="000000"/>
                              <w:kern w:val="24"/>
                              <w:szCs w:val="22"/>
                              <w:lang w:eastAsia="zh-CN"/>
                            </w:rPr>
                            <m:t>N-q</m:t>
                          </m:r>
                        </m:e>
                      </m:d>
                      <m:r>
                        <w:rPr>
                          <w:rFonts w:ascii="Cambria Math" w:eastAsia="Malgun Gothic" w:hAnsi="Cambria Math" w:cs="+mn-cs"/>
                          <w:color w:val="000000"/>
                          <w:kern w:val="24"/>
                          <w:szCs w:val="22"/>
                          <w:lang w:eastAsia="zh-CN"/>
                        </w:rPr>
                        <m:t>s</m:t>
                      </m:r>
                    </m:sup>
                  </m:sSup>
                </m:e>
              </m:d>
            </m:oMath>
            <w:r w:rsidRPr="00A1265A">
              <w:rPr>
                <w:rFonts w:ascii="Calibri" w:eastAsia="+mn-ea" w:hAnsi="Calibri" w:cs="+mn-cs"/>
                <w:color w:val="000000"/>
                <w:kern w:val="24"/>
                <w:szCs w:val="22"/>
                <w:lang w:eastAsia="zh-CN"/>
              </w:rPr>
              <w:t xml:space="preserve"> where </w:t>
            </w:r>
            <m:oMath>
              <m:r>
                <w:rPr>
                  <w:rFonts w:ascii="Cambria Math" w:eastAsia="+mn-ea" w:hAnsi="Cambria Math" w:cs="+mn-cs"/>
                  <w:color w:val="000000"/>
                  <w:kern w:val="24"/>
                  <w:szCs w:val="22"/>
                  <w:lang w:eastAsia="zh-CN"/>
                </w:rPr>
                <m:t>q=0,1,…,</m:t>
              </m:r>
              <m:sSup>
                <m:sSupPr>
                  <m:ctrlPr>
                    <w:rPr>
                      <w:rFonts w:ascii="Cambria Math" w:eastAsia="+mn-ea" w:hAnsi="Cambria Math" w:cs="+mn-cs"/>
                      <w:i/>
                      <w:iCs/>
                      <w:color w:val="000000"/>
                      <w:kern w:val="24"/>
                      <w:szCs w:val="22"/>
                      <w:lang w:eastAsia="zh-CN"/>
                    </w:rPr>
                  </m:ctrlPr>
                </m:sSupPr>
                <m:e>
                  <m:r>
                    <w:rPr>
                      <w:rFonts w:ascii="Cambria Math" w:eastAsia="+mn-ea" w:hAnsi="Cambria Math" w:cs="+mn-cs"/>
                      <w:color w:val="000000"/>
                      <w:kern w:val="24"/>
                      <w:szCs w:val="22"/>
                      <w:lang w:eastAsia="zh-CN"/>
                    </w:rPr>
                    <m:t>2</m:t>
                  </m:r>
                </m:e>
                <m:sup>
                  <m:r>
                    <w:rPr>
                      <w:rFonts w:ascii="Cambria Math" w:eastAsia="+mn-ea" w:hAnsi="Cambria Math" w:cs="+mn-cs"/>
                      <w:color w:val="000000"/>
                      <w:kern w:val="24"/>
                      <w:szCs w:val="22"/>
                      <w:lang w:eastAsia="zh-CN"/>
                    </w:rPr>
                    <m:t>Q</m:t>
                  </m:r>
                </m:sup>
              </m:sSup>
              <m:r>
                <w:rPr>
                  <w:rFonts w:ascii="Cambria Math" w:eastAsia="+mn-ea" w:hAnsi="Cambria Math" w:cs="+mn-cs"/>
                  <w:color w:val="000000"/>
                  <w:kern w:val="24"/>
                  <w:szCs w:val="22"/>
                  <w:lang w:eastAsia="zh-CN"/>
                </w:rPr>
                <m:t>-1 </m:t>
              </m:r>
            </m:oMath>
          </w:p>
          <w:p w14:paraId="075BEC7C" w14:textId="77777777" w:rsidR="000E0000" w:rsidRPr="00A1265A" w:rsidRDefault="000E0000" w:rsidP="000E0000">
            <w:pPr>
              <w:numPr>
                <w:ilvl w:val="1"/>
                <w:numId w:val="44"/>
              </w:numPr>
              <w:spacing w:after="0"/>
              <w:ind w:left="1231"/>
              <w:contextualSpacing/>
              <w:rPr>
                <w:rFonts w:eastAsia="Times New Roman"/>
                <w:szCs w:val="28"/>
                <w:lang w:eastAsia="zh-CN"/>
              </w:rPr>
            </w:pPr>
            <w:r w:rsidRPr="00A1265A">
              <w:rPr>
                <w:rFonts w:ascii="Times" w:eastAsia="Malgun Gothic" w:hAnsi="Times" w:cs="+mn-cs"/>
                <w:color w:val="000000"/>
                <w:kern w:val="24"/>
                <w:szCs w:val="22"/>
                <w:lang w:val="en-GB" w:eastAsia="zh-CN"/>
              </w:rPr>
              <w:t xml:space="preserve">TBD: supported value(s) of N (e.g., </w:t>
            </w:r>
            <m:oMath>
              <m:sSup>
                <m:sSupPr>
                  <m:ctrlPr>
                    <w:rPr>
                      <w:rFonts w:ascii="Cambria Math" w:eastAsia="Malgun Gothic" w:hAnsi="Cambria Math" w:cs="+mn-cs"/>
                      <w:i/>
                      <w:iCs/>
                      <w:color w:val="000000"/>
                      <w:kern w:val="24"/>
                      <w:szCs w:val="22"/>
                      <w:lang w:eastAsia="zh-CN"/>
                    </w:rPr>
                  </m:ctrlPr>
                </m:sSupPr>
                <m:e>
                  <m:r>
                    <w:rPr>
                      <w:rFonts w:ascii="Cambria Math" w:eastAsia="Malgun Gothic" w:hAnsi="Cambria Math" w:cs="+mn-cs"/>
                      <w:color w:val="000000"/>
                      <w:kern w:val="24"/>
                      <w:szCs w:val="22"/>
                      <w:lang w:eastAsia="zh-CN"/>
                    </w:rPr>
                    <m:t>2</m:t>
                  </m:r>
                </m:e>
                <m:sup>
                  <m:r>
                    <w:rPr>
                      <w:rFonts w:ascii="Cambria Math" w:eastAsia="Malgun Gothic" w:hAnsi="Cambria Math" w:cs="+mn-cs"/>
                      <w:color w:val="000000"/>
                      <w:kern w:val="24"/>
                      <w:szCs w:val="22"/>
                      <w:lang w:eastAsia="zh-CN"/>
                    </w:rPr>
                    <m:t>Q</m:t>
                  </m:r>
                </m:sup>
              </m:sSup>
              <m:r>
                <w:rPr>
                  <w:rFonts w:ascii="Cambria Math" w:eastAsia="Malgun Gothic" w:hAnsi="Cambria Math" w:cs="+mn-cs"/>
                  <w:color w:val="000000"/>
                  <w:kern w:val="24"/>
                  <w:szCs w:val="22"/>
                  <w:lang w:eastAsia="zh-CN"/>
                </w:rPr>
                <m:t>-1</m:t>
              </m:r>
            </m:oMath>
            <w:r w:rsidRPr="00A1265A">
              <w:rPr>
                <w:rFonts w:ascii="Times" w:eastAsia="Malgun Gothic" w:hAnsi="Times" w:cs="+mn-cs"/>
                <w:color w:val="000000"/>
                <w:kern w:val="24"/>
                <w:szCs w:val="22"/>
                <w:lang w:eastAsia="zh-CN"/>
              </w:rPr>
              <w:t xml:space="preserve"> or larger), </w:t>
            </w:r>
            <w:r w:rsidRPr="00A1265A">
              <w:rPr>
                <w:rFonts w:ascii="Times" w:eastAsia="Malgun Gothic" w:hAnsi="Times" w:cs="+mn-cs"/>
                <w:color w:val="000000"/>
                <w:kern w:val="24"/>
                <w:szCs w:val="22"/>
                <w:lang w:val="en-GB" w:eastAsia="zh-CN"/>
              </w:rPr>
              <w:t>Q, s (e.g., ½, ¼, 1/8, …), whether a center threshold is also supported (and if so, higher-layer configured)</w:t>
            </w:r>
          </w:p>
          <w:p w14:paraId="3A61AE86" w14:textId="77777777" w:rsidR="000E0000" w:rsidRPr="00A1265A" w:rsidRDefault="000E0000" w:rsidP="000E0000">
            <w:pPr>
              <w:spacing w:after="0"/>
              <w:rPr>
                <w:rFonts w:ascii="Times" w:eastAsia="Malgun Gothic" w:hAnsi="Times" w:cs="+mn-cs"/>
                <w:color w:val="000000"/>
                <w:kern w:val="24"/>
                <w:szCs w:val="22"/>
                <w:lang w:val="en-GB" w:eastAsia="zh-CN"/>
              </w:rPr>
            </w:pPr>
            <w:r w:rsidRPr="00A1265A">
              <w:rPr>
                <w:rFonts w:ascii="Times" w:eastAsia="Malgun Gothic" w:hAnsi="Times" w:cs="+mn-cs"/>
                <w:color w:val="000000"/>
                <w:kern w:val="24"/>
                <w:szCs w:val="22"/>
                <w:lang w:val="en-GB" w:eastAsia="zh-CN"/>
              </w:rPr>
              <w:t>FFS: Whether different schemes can be supported for different use cases</w:t>
            </w:r>
          </w:p>
          <w:p w14:paraId="673BE753" w14:textId="77777777" w:rsidR="000E0000" w:rsidRPr="00A1265A" w:rsidRDefault="000E0000" w:rsidP="000E0000">
            <w:pPr>
              <w:spacing w:after="0"/>
              <w:rPr>
                <w:rFonts w:ascii="Times" w:eastAsia="Malgun Gothic" w:hAnsi="Times" w:cs="+mn-cs"/>
                <w:color w:val="000000"/>
                <w:kern w:val="24"/>
                <w:szCs w:val="22"/>
                <w:lang w:val="en-GB" w:eastAsia="zh-CN"/>
              </w:rPr>
            </w:pPr>
          </w:p>
          <w:p w14:paraId="511678CA" w14:textId="77777777" w:rsidR="000E0000" w:rsidRPr="00A1265A" w:rsidRDefault="000E0000" w:rsidP="000E0000">
            <w:pPr>
              <w:spacing w:after="0"/>
              <w:rPr>
                <w:rFonts w:eastAsia="Times New Roman"/>
                <w:sz w:val="28"/>
                <w:szCs w:val="28"/>
                <w:lang w:eastAsia="zh-CN"/>
              </w:rPr>
            </w:pPr>
            <w:r w:rsidRPr="00A1265A">
              <w:rPr>
                <w:rFonts w:ascii="Times" w:eastAsia="Batang" w:hAnsi="Times" w:cs="Times"/>
                <w:b/>
                <w:bCs/>
                <w:color w:val="000000"/>
                <w:kern w:val="24"/>
                <w:szCs w:val="22"/>
                <w:highlight w:val="green"/>
                <w:lang w:val="en-GB" w:eastAsia="zh-CN"/>
              </w:rPr>
              <w:t>Agreement</w:t>
            </w:r>
          </w:p>
          <w:p w14:paraId="6624C276" w14:textId="77777777" w:rsidR="000E0000" w:rsidRPr="00A1265A" w:rsidRDefault="000E0000" w:rsidP="000E0000">
            <w:pPr>
              <w:spacing w:after="0"/>
              <w:rPr>
                <w:rFonts w:eastAsia="Times New Roman"/>
                <w:sz w:val="28"/>
                <w:szCs w:val="28"/>
                <w:lang w:eastAsia="zh-CN"/>
              </w:rPr>
            </w:pPr>
            <w:r w:rsidRPr="00A1265A">
              <w:rPr>
                <w:rFonts w:ascii="Times" w:eastAsia="Batang" w:hAnsi="Times" w:cs="Times"/>
                <w:color w:val="000000"/>
                <w:kern w:val="24"/>
                <w:szCs w:val="22"/>
                <w:lang w:val="en-GB" w:eastAsia="zh-CN"/>
              </w:rPr>
              <w:t>For the Rel-18 TRS-based TDCP reporting, regarding the quantization of wideband normalized amplitude value, down-select (by RAN1#113) from the following candidates:</w:t>
            </w:r>
          </w:p>
          <w:p w14:paraId="2B4503FB" w14:textId="77777777" w:rsidR="000E0000" w:rsidRPr="00A1265A" w:rsidRDefault="000E0000" w:rsidP="000E0000">
            <w:pPr>
              <w:numPr>
                <w:ilvl w:val="0"/>
                <w:numId w:val="45"/>
              </w:numPr>
              <w:spacing w:after="0"/>
              <w:ind w:left="1267"/>
              <w:contextualSpacing/>
              <w:rPr>
                <w:rFonts w:eastAsia="Times New Roman"/>
                <w:szCs w:val="28"/>
                <w:lang w:eastAsia="zh-CN"/>
              </w:rPr>
            </w:pPr>
            <w:r w:rsidRPr="00A1265A">
              <w:rPr>
                <w:rFonts w:ascii="Times" w:eastAsia="Batang" w:hAnsi="Times" w:cs="Times"/>
                <w:color w:val="000000"/>
                <w:kern w:val="24"/>
                <w:szCs w:val="22"/>
                <w:lang w:val="en-GB" w:eastAsia="zh-CN"/>
              </w:rPr>
              <w:t>Alt1: N=2</w:t>
            </w:r>
            <w:r w:rsidRPr="00A1265A">
              <w:rPr>
                <w:rFonts w:ascii="Times" w:eastAsia="Batang" w:hAnsi="Times" w:cs="Times"/>
                <w:color w:val="000000"/>
                <w:kern w:val="24"/>
                <w:position w:val="6"/>
                <w:szCs w:val="22"/>
                <w:vertAlign w:val="superscript"/>
                <w:lang w:val="en-GB" w:eastAsia="zh-CN"/>
              </w:rPr>
              <w:t>Q</w:t>
            </w:r>
            <w:r w:rsidRPr="00A1265A">
              <w:rPr>
                <w:rFonts w:ascii="Times" w:eastAsia="Batang" w:hAnsi="Times" w:cs="Times"/>
                <w:color w:val="000000"/>
                <w:kern w:val="24"/>
                <w:szCs w:val="22"/>
                <w:lang w:val="en-GB" w:eastAsia="zh-CN"/>
              </w:rPr>
              <w:t xml:space="preserve">-1 where Q=5, s={1/5, ¼, 1/3} </w:t>
            </w:r>
          </w:p>
          <w:p w14:paraId="11B6893B" w14:textId="77777777" w:rsidR="000E0000" w:rsidRPr="00A1265A" w:rsidRDefault="000E0000" w:rsidP="000E0000">
            <w:pPr>
              <w:numPr>
                <w:ilvl w:val="0"/>
                <w:numId w:val="45"/>
              </w:numPr>
              <w:spacing w:after="0"/>
              <w:ind w:left="1267"/>
              <w:contextualSpacing/>
              <w:rPr>
                <w:rFonts w:eastAsia="Times New Roman"/>
                <w:szCs w:val="28"/>
                <w:lang w:eastAsia="zh-CN"/>
              </w:rPr>
            </w:pPr>
            <w:r w:rsidRPr="00A1265A">
              <w:rPr>
                <w:rFonts w:ascii="Times" w:eastAsia="Batang" w:hAnsi="Times" w:cs="Times"/>
                <w:color w:val="000000"/>
                <w:kern w:val="24"/>
                <w:szCs w:val="22"/>
                <w:lang w:val="en-GB" w:eastAsia="zh-CN"/>
              </w:rPr>
              <w:t>Alt2: N=2</w:t>
            </w:r>
            <w:r w:rsidRPr="00A1265A">
              <w:rPr>
                <w:rFonts w:ascii="Times" w:eastAsia="Batang" w:hAnsi="Times" w:cs="Times"/>
                <w:color w:val="000000"/>
                <w:kern w:val="24"/>
                <w:position w:val="6"/>
                <w:szCs w:val="22"/>
                <w:vertAlign w:val="superscript"/>
                <w:lang w:val="en-GB" w:eastAsia="zh-CN"/>
              </w:rPr>
              <w:t>Q</w:t>
            </w:r>
            <w:r w:rsidRPr="00A1265A">
              <w:rPr>
                <w:rFonts w:ascii="Times" w:eastAsia="Batang" w:hAnsi="Times" w:cs="Times"/>
                <w:color w:val="000000"/>
                <w:kern w:val="24"/>
                <w:szCs w:val="22"/>
                <w:lang w:val="en-GB" w:eastAsia="zh-CN"/>
              </w:rPr>
              <w:t xml:space="preserve"> where Q=3, s={¼, 1/3, ½, 2/3, ¾} </w:t>
            </w:r>
          </w:p>
          <w:p w14:paraId="22BB5621" w14:textId="77777777" w:rsidR="000E0000" w:rsidRPr="00A1265A" w:rsidRDefault="000E0000" w:rsidP="000E0000">
            <w:pPr>
              <w:numPr>
                <w:ilvl w:val="0"/>
                <w:numId w:val="45"/>
              </w:numPr>
              <w:spacing w:after="0"/>
              <w:ind w:left="1267"/>
              <w:contextualSpacing/>
              <w:rPr>
                <w:rFonts w:eastAsia="Times New Roman"/>
                <w:szCs w:val="28"/>
                <w:lang w:eastAsia="zh-CN"/>
              </w:rPr>
            </w:pPr>
            <w:r w:rsidRPr="00A1265A">
              <w:rPr>
                <w:rFonts w:ascii="Times" w:eastAsia="Batang" w:hAnsi="Times" w:cs="Times"/>
                <w:color w:val="000000"/>
                <w:kern w:val="24"/>
                <w:szCs w:val="22"/>
                <w:lang w:val="en-GB" w:eastAsia="zh-CN"/>
              </w:rPr>
              <w:t>Alt3: N=2</w:t>
            </w:r>
            <w:r w:rsidRPr="00A1265A">
              <w:rPr>
                <w:rFonts w:ascii="Times" w:eastAsia="Batang" w:hAnsi="Times" w:cs="Times"/>
                <w:color w:val="000000"/>
                <w:kern w:val="24"/>
                <w:position w:val="6"/>
                <w:szCs w:val="22"/>
                <w:vertAlign w:val="superscript"/>
                <w:lang w:val="en-GB" w:eastAsia="zh-CN"/>
              </w:rPr>
              <w:t>Q</w:t>
            </w:r>
            <w:r w:rsidRPr="00A1265A">
              <w:rPr>
                <w:rFonts w:ascii="Times" w:eastAsia="Batang" w:hAnsi="Times" w:cs="Times"/>
                <w:color w:val="000000"/>
                <w:kern w:val="24"/>
                <w:szCs w:val="22"/>
                <w:lang w:val="en-GB" w:eastAsia="zh-CN"/>
              </w:rPr>
              <w:t xml:space="preserve"> where Q=4, s={¼, ½, 2/3, ¾} </w:t>
            </w:r>
          </w:p>
          <w:p w14:paraId="07E40496" w14:textId="77777777" w:rsidR="000E0000" w:rsidRPr="00A1265A" w:rsidRDefault="000E0000" w:rsidP="000E0000">
            <w:pPr>
              <w:numPr>
                <w:ilvl w:val="0"/>
                <w:numId w:val="45"/>
              </w:numPr>
              <w:spacing w:after="0"/>
              <w:ind w:left="1267"/>
              <w:contextualSpacing/>
              <w:rPr>
                <w:rFonts w:eastAsia="Times New Roman"/>
                <w:szCs w:val="28"/>
                <w:lang w:eastAsia="zh-CN"/>
              </w:rPr>
            </w:pPr>
            <w:r w:rsidRPr="00A1265A">
              <w:rPr>
                <w:rFonts w:ascii="Times" w:eastAsia="Batang" w:hAnsi="Times" w:cs="Times"/>
                <w:color w:val="000000"/>
                <w:kern w:val="24"/>
                <w:szCs w:val="22"/>
                <w:lang w:val="en-GB" w:eastAsia="zh-CN"/>
              </w:rPr>
              <w:t>Alt4: N={2</w:t>
            </w:r>
            <w:r w:rsidRPr="00A1265A">
              <w:rPr>
                <w:rFonts w:ascii="Times" w:eastAsia="Batang" w:hAnsi="Times" w:cs="Times"/>
                <w:color w:val="000000"/>
                <w:kern w:val="24"/>
                <w:position w:val="6"/>
                <w:szCs w:val="22"/>
                <w:vertAlign w:val="superscript"/>
                <w:lang w:val="en-GB" w:eastAsia="zh-CN"/>
              </w:rPr>
              <w:t>Q</w:t>
            </w:r>
            <w:r w:rsidRPr="00A1265A">
              <w:rPr>
                <w:rFonts w:ascii="Times" w:eastAsia="Batang" w:hAnsi="Times" w:cs="Times"/>
                <w:color w:val="000000"/>
                <w:kern w:val="24"/>
                <w:szCs w:val="22"/>
                <w:lang w:val="en-GB" w:eastAsia="zh-CN"/>
              </w:rPr>
              <w:t xml:space="preserve"> –1, …, 2</w:t>
            </w:r>
            <w:r w:rsidRPr="00A1265A">
              <w:rPr>
                <w:rFonts w:ascii="Times" w:eastAsia="Batang" w:hAnsi="Times" w:cs="Times"/>
                <w:color w:val="000000"/>
                <w:kern w:val="24"/>
                <w:position w:val="6"/>
                <w:szCs w:val="22"/>
                <w:vertAlign w:val="superscript"/>
                <w:lang w:val="en-GB" w:eastAsia="zh-CN"/>
              </w:rPr>
              <w:t>Q+1</w:t>
            </w:r>
            <w:r w:rsidRPr="00A1265A">
              <w:rPr>
                <w:rFonts w:ascii="Times" w:eastAsia="Batang" w:hAnsi="Times" w:cs="Times"/>
                <w:color w:val="000000"/>
                <w:kern w:val="24"/>
                <w:szCs w:val="22"/>
                <w:lang w:val="en-GB" w:eastAsia="zh-CN"/>
              </w:rPr>
              <w:t xml:space="preserve"> –1} (i.e., 7-15) where Q=3, s={1/5, ¼, 1/3, 2/5, ½, 3/5, 2/3, ¾, 4/5} </w:t>
            </w:r>
          </w:p>
          <w:p w14:paraId="5190A4BD" w14:textId="77777777" w:rsidR="000E0000" w:rsidRPr="00A1265A" w:rsidRDefault="000E0000" w:rsidP="000E0000">
            <w:pPr>
              <w:numPr>
                <w:ilvl w:val="0"/>
                <w:numId w:val="45"/>
              </w:numPr>
              <w:spacing w:after="0"/>
              <w:ind w:left="1267"/>
              <w:contextualSpacing/>
              <w:rPr>
                <w:rFonts w:eastAsia="Times New Roman"/>
                <w:szCs w:val="28"/>
                <w:lang w:eastAsia="zh-CN"/>
              </w:rPr>
            </w:pPr>
            <w:r w:rsidRPr="00A1265A">
              <w:rPr>
                <w:rFonts w:ascii="Times" w:eastAsia="Batang" w:hAnsi="Times" w:cs="Times"/>
                <w:color w:val="000000"/>
                <w:kern w:val="24"/>
                <w:szCs w:val="22"/>
                <w:lang w:val="en-GB" w:eastAsia="zh-CN"/>
              </w:rPr>
              <w:t>Alt4A: N={2</w:t>
            </w:r>
            <w:r w:rsidRPr="00A1265A">
              <w:rPr>
                <w:rFonts w:ascii="Times" w:eastAsia="Batang" w:hAnsi="Times" w:cs="Times"/>
                <w:color w:val="000000"/>
                <w:kern w:val="24"/>
                <w:position w:val="6"/>
                <w:szCs w:val="22"/>
                <w:vertAlign w:val="superscript"/>
                <w:lang w:val="en-GB" w:eastAsia="zh-CN"/>
              </w:rPr>
              <w:t>Q</w:t>
            </w:r>
            <w:r w:rsidRPr="00A1265A">
              <w:rPr>
                <w:rFonts w:ascii="Times" w:eastAsia="Batang" w:hAnsi="Times" w:cs="Times"/>
                <w:color w:val="000000"/>
                <w:kern w:val="24"/>
                <w:szCs w:val="22"/>
                <w:lang w:val="en-GB" w:eastAsia="zh-CN"/>
              </w:rPr>
              <w:t xml:space="preserve"> , 2</w:t>
            </w:r>
            <w:r w:rsidRPr="00A1265A">
              <w:rPr>
                <w:rFonts w:ascii="Times" w:eastAsia="Batang" w:hAnsi="Times" w:cs="Times"/>
                <w:color w:val="000000"/>
                <w:kern w:val="24"/>
                <w:position w:val="6"/>
                <w:szCs w:val="22"/>
                <w:vertAlign w:val="superscript"/>
                <w:lang w:val="en-GB" w:eastAsia="zh-CN"/>
              </w:rPr>
              <w:t>Q</w:t>
            </w:r>
            <w:r w:rsidRPr="00A1265A">
              <w:rPr>
                <w:rFonts w:ascii="Times" w:eastAsia="Batang" w:hAnsi="Times" w:cs="Times"/>
                <w:color w:val="000000"/>
                <w:kern w:val="24"/>
                <w:szCs w:val="22"/>
                <w:lang w:val="en-GB" w:eastAsia="zh-CN"/>
              </w:rPr>
              <w:t>+0.5,…, 2</w:t>
            </w:r>
            <w:r w:rsidRPr="00A1265A">
              <w:rPr>
                <w:rFonts w:ascii="Times" w:eastAsia="Batang" w:hAnsi="Times" w:cs="Times"/>
                <w:color w:val="000000"/>
                <w:kern w:val="24"/>
                <w:position w:val="6"/>
                <w:szCs w:val="22"/>
                <w:vertAlign w:val="superscript"/>
                <w:lang w:val="en-GB" w:eastAsia="zh-CN"/>
              </w:rPr>
              <w:t>Q+1</w:t>
            </w:r>
            <w:r w:rsidRPr="00A1265A">
              <w:rPr>
                <w:rFonts w:ascii="Times" w:eastAsia="Batang" w:hAnsi="Times" w:cs="Times"/>
                <w:color w:val="000000"/>
                <w:kern w:val="24"/>
                <w:szCs w:val="22"/>
                <w:lang w:val="en-GB" w:eastAsia="zh-CN"/>
              </w:rPr>
              <w:t>-0.5} (i.e., 8, 8.5,…,15.5) where Q=3, s={1/5, ¼, 1/3, 2/5, ½, 3/5, 2/3, ¾, 4/5}</w:t>
            </w:r>
          </w:p>
          <w:p w14:paraId="350CD3FB" w14:textId="77777777" w:rsidR="000E0000" w:rsidRPr="00A1265A" w:rsidRDefault="000E0000" w:rsidP="000E0000">
            <w:pPr>
              <w:spacing w:after="0"/>
              <w:rPr>
                <w:rFonts w:eastAsia="Times New Roman"/>
                <w:sz w:val="28"/>
                <w:szCs w:val="28"/>
                <w:lang w:eastAsia="zh-CN"/>
              </w:rPr>
            </w:pPr>
            <w:r w:rsidRPr="00A1265A">
              <w:rPr>
                <w:rFonts w:ascii="Times" w:eastAsia="Batang" w:hAnsi="Times" w:cs="Times"/>
                <w:color w:val="000000"/>
                <w:kern w:val="24"/>
                <w:szCs w:val="22"/>
                <w:lang w:val="en-GB" w:eastAsia="zh-CN"/>
              </w:rPr>
              <w:t xml:space="preserve">Once an alternative is selected, reducing the number of candidate values for </w:t>
            </w:r>
            <w:r w:rsidRPr="00A1265A">
              <w:rPr>
                <w:rFonts w:ascii="Times" w:eastAsia="Batang" w:hAnsi="Times" w:cs="Times"/>
                <w:i/>
                <w:iCs/>
                <w:color w:val="000000"/>
                <w:kern w:val="24"/>
                <w:szCs w:val="22"/>
                <w:lang w:val="en-GB" w:eastAsia="zh-CN"/>
              </w:rPr>
              <w:t>s</w:t>
            </w:r>
            <w:r w:rsidRPr="00A1265A">
              <w:rPr>
                <w:rFonts w:ascii="Times" w:eastAsia="Batang" w:hAnsi="Times" w:cs="Times"/>
                <w:color w:val="000000"/>
                <w:kern w:val="24"/>
                <w:szCs w:val="22"/>
                <w:lang w:val="en-GB" w:eastAsia="zh-CN"/>
              </w:rPr>
              <w:t xml:space="preserve"> is not precluded. </w:t>
            </w:r>
          </w:p>
          <w:p w14:paraId="6C8BFC94" w14:textId="482D1E8C" w:rsidR="000E0000" w:rsidRPr="007F0E6C" w:rsidRDefault="000E0000" w:rsidP="000E0000">
            <w:pPr>
              <w:spacing w:after="0"/>
              <w:rPr>
                <w:rFonts w:eastAsia="Times New Roman"/>
                <w:sz w:val="24"/>
                <w:szCs w:val="24"/>
                <w:lang w:eastAsia="zh-CN"/>
              </w:rPr>
            </w:pPr>
            <w:r w:rsidRPr="00A1265A">
              <w:rPr>
                <w:rFonts w:ascii="Times" w:eastAsia="Batang" w:hAnsi="Times" w:cs="+mn-cs"/>
                <w:color w:val="000000"/>
                <w:kern w:val="24"/>
                <w:szCs w:val="22"/>
                <w:lang w:val="en-GB" w:eastAsia="zh-CN"/>
              </w:rPr>
              <w:t>Companies can simulate each alternative with and without a configurable center threshold</w:t>
            </w:r>
          </w:p>
        </w:tc>
      </w:tr>
    </w:tbl>
    <w:p w14:paraId="782263C2" w14:textId="77777777" w:rsidR="007F0E6C" w:rsidRDefault="007F0E6C" w:rsidP="00A1265A">
      <w:pPr>
        <w:rPr>
          <w:lang w:val="en-GB"/>
        </w:rPr>
      </w:pPr>
    </w:p>
    <w:p w14:paraId="314629D7" w14:textId="77777777" w:rsidR="00FA1551" w:rsidRDefault="00AC0A4D" w:rsidP="00DF7313">
      <w:pPr>
        <w:pStyle w:val="ListParagraph"/>
        <w:ind w:left="0"/>
        <w:rPr>
          <w:lang w:val="en-GB"/>
        </w:rPr>
      </w:pPr>
      <w:r>
        <w:rPr>
          <w:lang w:val="en-GB"/>
        </w:rPr>
        <w:t>Alternatives 1, 2 and 3 provide a straight-forward quantization solution, without further input or configuration from gNB, unlike alternatives 4 and 4A. For 4 and 4A to make sense, gNB must have prior information regarding the TDCP’s amplitude range</w:t>
      </w:r>
      <w:r w:rsidR="00FA1551">
        <w:rPr>
          <w:lang w:val="en-GB"/>
        </w:rPr>
        <w:t xml:space="preserve"> of interest</w:t>
      </w:r>
      <w:r>
        <w:rPr>
          <w:lang w:val="en-GB"/>
        </w:rPr>
        <w:t xml:space="preserve">. This assumption is questionable. In addition, 4 and 4A will likely fail </w:t>
      </w:r>
      <w:r w:rsidR="00FA1551">
        <w:rPr>
          <w:lang w:val="en-GB"/>
        </w:rPr>
        <w:t>if quantization is done on multiple coefficients in</w:t>
      </w:r>
      <w:r>
        <w:rPr>
          <w:lang w:val="en-GB"/>
        </w:rPr>
        <w:t xml:space="preserve"> the optional TDCP feature because there is no guarantee that all TDCP coefficients are within the range of interest (defined by the configurable value N). Hence, we will only focus on the first three alternatives for further evaluation.</w:t>
      </w:r>
    </w:p>
    <w:p w14:paraId="14F360BB" w14:textId="5AC96406" w:rsidR="00FA1551" w:rsidRDefault="00FA1551" w:rsidP="00DF7313">
      <w:pPr>
        <w:pStyle w:val="ListParagraph"/>
        <w:ind w:left="0"/>
        <w:rPr>
          <w:lang w:val="en-GB"/>
        </w:rPr>
      </w:pPr>
      <w:r w:rsidRPr="00FA1551">
        <w:rPr>
          <w:b/>
          <w:bCs/>
          <w:i/>
          <w:iCs/>
          <w:lang w:val="en-GB"/>
        </w:rPr>
        <w:t>Observation</w:t>
      </w:r>
      <w:r w:rsidR="00E71D0D">
        <w:rPr>
          <w:b/>
          <w:bCs/>
          <w:i/>
          <w:iCs/>
          <w:lang w:val="en-GB"/>
        </w:rPr>
        <w:t xml:space="preserve"> </w:t>
      </w:r>
      <w:r w:rsidR="007C32CE">
        <w:rPr>
          <w:b/>
          <w:bCs/>
          <w:i/>
          <w:iCs/>
          <w:lang w:val="en-GB"/>
        </w:rPr>
        <w:t>3</w:t>
      </w:r>
      <w:r>
        <w:rPr>
          <w:lang w:val="en-GB"/>
        </w:rPr>
        <w:t>: Amplitude quantization using alternatives 4 and 4A assumes prior knowledge on the gNB side regarding the range of values of interest for the TDCP amplitude. This assumption is questionable.</w:t>
      </w:r>
    </w:p>
    <w:p w14:paraId="698BD7CB" w14:textId="10540964" w:rsidR="00FA1551" w:rsidRDefault="00FA1551" w:rsidP="00DF7313">
      <w:pPr>
        <w:pStyle w:val="ListParagraph"/>
        <w:ind w:left="0"/>
        <w:rPr>
          <w:lang w:val="en-GB"/>
        </w:rPr>
      </w:pPr>
      <w:r w:rsidRPr="00FA1551">
        <w:rPr>
          <w:b/>
          <w:bCs/>
          <w:i/>
          <w:iCs/>
          <w:lang w:val="en-GB"/>
        </w:rPr>
        <w:t>Observation</w:t>
      </w:r>
      <w:r w:rsidR="00E71D0D">
        <w:rPr>
          <w:b/>
          <w:bCs/>
          <w:i/>
          <w:iCs/>
          <w:lang w:val="en-GB"/>
        </w:rPr>
        <w:t xml:space="preserve"> </w:t>
      </w:r>
      <w:r w:rsidR="007C32CE">
        <w:rPr>
          <w:b/>
          <w:bCs/>
          <w:i/>
          <w:iCs/>
          <w:lang w:val="en-GB"/>
        </w:rPr>
        <w:t>4</w:t>
      </w:r>
      <w:r>
        <w:rPr>
          <w:lang w:val="en-GB"/>
        </w:rPr>
        <w:t>: Amplitude quantization using alternatives 4 and 4A will not work well when multiple TDCP coefficients are reported since there is no guarantee their values will lie in the range of interest dictated by the value N.</w:t>
      </w:r>
    </w:p>
    <w:p w14:paraId="1233ECF1" w14:textId="593F3815" w:rsidR="0098782F" w:rsidRDefault="0098782F" w:rsidP="00DF7313">
      <w:pPr>
        <w:pStyle w:val="ListParagraph"/>
        <w:ind w:left="0"/>
        <w:rPr>
          <w:lang w:val="en-GB"/>
        </w:rPr>
      </w:pPr>
      <w:r>
        <w:rPr>
          <w:lang w:val="en-GB"/>
        </w:rPr>
        <w:t>We run simulations to evaluate the effect of TDCP amplitude quantization</w:t>
      </w:r>
      <w:r w:rsidR="00A1181B">
        <w:rPr>
          <w:lang w:val="en-GB"/>
        </w:rPr>
        <w:t>., We simulate</w:t>
      </w:r>
      <w:r>
        <w:rPr>
          <w:lang w:val="en-GB"/>
        </w:rPr>
        <w:t xml:space="preserve"> the Codebook (CB) switching use case and us</w:t>
      </w:r>
      <w:r w:rsidR="00A1181B">
        <w:rPr>
          <w:lang w:val="en-GB"/>
        </w:rPr>
        <w:t>e</w:t>
      </w:r>
      <w:r>
        <w:rPr>
          <w:lang w:val="en-GB"/>
        </w:rPr>
        <w:t xml:space="preserve"> the basic feature of TDCP reporting (i.e., one </w:t>
      </w:r>
      <w:r w:rsidR="00A1181B">
        <w:rPr>
          <w:lang w:val="en-GB"/>
        </w:rPr>
        <w:t>amplitude</w:t>
      </w:r>
      <w:r>
        <w:rPr>
          <w:lang w:val="en-GB"/>
        </w:rPr>
        <w:t>-only coefficient</w:t>
      </w:r>
      <w:r w:rsidR="00A1181B">
        <w:rPr>
          <w:lang w:val="en-GB"/>
        </w:rPr>
        <w:t xml:space="preserve"> is</w:t>
      </w:r>
      <w:r>
        <w:rPr>
          <w:lang w:val="en-GB"/>
        </w:rPr>
        <w:t xml:space="preserve"> reported) at a delay value of 2 slots. Figures 1, 2 and 3 below show TDCP quantization using Alternatives 1, 2 and 3, respectively.</w:t>
      </w:r>
      <w:r w:rsidR="00B875D0">
        <w:rPr>
          <w:lang w:val="en-GB"/>
        </w:rPr>
        <w:t xml:space="preserve"> In addition, </w:t>
      </w:r>
      <w:r w:rsidR="00A1181B">
        <w:rPr>
          <w:lang w:val="en-GB"/>
        </w:rPr>
        <w:t xml:space="preserve">for reference, </w:t>
      </w:r>
      <w:r w:rsidR="00B875D0">
        <w:rPr>
          <w:lang w:val="en-GB"/>
        </w:rPr>
        <w:t>we also plot the performance for fixed codebook scenarios using both TypeI-SP CB only and using ETypeII CB only.</w:t>
      </w:r>
    </w:p>
    <w:p w14:paraId="6D1593FE" w14:textId="77777777" w:rsidR="00AC0A4D" w:rsidRDefault="000E0000" w:rsidP="00AC0A4D">
      <w:pPr>
        <w:pStyle w:val="ListParagraph"/>
        <w:keepNext/>
        <w:ind w:left="810"/>
        <w:jc w:val="center"/>
      </w:pPr>
      <w:r w:rsidRPr="00AC0A4D">
        <w:rPr>
          <w:noProof/>
        </w:rPr>
        <w:lastRenderedPageBreak/>
        <w:drawing>
          <wp:inline distT="0" distB="0" distL="0" distR="0" wp14:anchorId="238645FA" wp14:editId="71375E96">
            <wp:extent cx="4011004" cy="2802355"/>
            <wp:effectExtent l="19050" t="19050" r="27940" b="17145"/>
            <wp:docPr id="1" name="Picture 9" descr="A picture containing text, line, diagram, plot&#10;&#10;Description automatically generated">
              <a:extLst xmlns:a="http://schemas.openxmlformats.org/drawingml/2006/main">
                <a:ext uri="{FF2B5EF4-FFF2-40B4-BE49-F238E27FC236}">
                  <a16:creationId xmlns:a16="http://schemas.microsoft.com/office/drawing/2014/main" id="{5999343D-9DD9-42BC-B331-634B0E11F35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descr="A picture containing text, line, diagram, plot&#10;&#10;Description automatically generated">
                      <a:extLst>
                        <a:ext uri="{FF2B5EF4-FFF2-40B4-BE49-F238E27FC236}">
                          <a16:creationId xmlns:a16="http://schemas.microsoft.com/office/drawing/2014/main" id="{5999343D-9DD9-42BC-B331-634B0E11F354}"/>
                        </a:ext>
                      </a:extLst>
                    </pic:cNvPr>
                    <pic:cNvPicPr>
                      <a:picLocks noChangeAspect="1"/>
                    </pic:cNvPicPr>
                  </pic:nvPicPr>
                  <pic:blipFill>
                    <a:blip r:embed="rId12"/>
                    <a:stretch>
                      <a:fillRect/>
                    </a:stretch>
                  </pic:blipFill>
                  <pic:spPr>
                    <a:xfrm>
                      <a:off x="0" y="0"/>
                      <a:ext cx="4018630" cy="2807683"/>
                    </a:xfrm>
                    <a:prstGeom prst="rect">
                      <a:avLst/>
                    </a:prstGeom>
                    <a:ln>
                      <a:solidFill>
                        <a:schemeClr val="tx1"/>
                      </a:solidFill>
                    </a:ln>
                  </pic:spPr>
                </pic:pic>
              </a:graphicData>
            </a:graphic>
          </wp:inline>
        </w:drawing>
      </w:r>
    </w:p>
    <w:p w14:paraId="6FDB6B2F" w14:textId="585FA38B" w:rsidR="00AC0A4D" w:rsidRDefault="00AC0A4D" w:rsidP="00AC0A4D">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TDCP amplitude quantization using Alt 1.</w:t>
      </w:r>
      <w:r w:rsidR="00DF7313">
        <w:t xml:space="preserve"> (s = 1/base)</w:t>
      </w:r>
    </w:p>
    <w:p w14:paraId="4FABEA47" w14:textId="61F62FE7" w:rsidR="00AC0A4D" w:rsidRPr="00AC0A4D" w:rsidRDefault="00DF7313" w:rsidP="00AC0A4D">
      <w:pPr>
        <w:rPr>
          <w:lang w:val="en-GB"/>
        </w:rPr>
      </w:pPr>
      <w:r>
        <w:rPr>
          <w:lang w:val="en-GB"/>
        </w:rPr>
        <w:t>Figure 1 shows that</w:t>
      </w:r>
      <w:r w:rsidR="00EF5012">
        <w:rPr>
          <w:lang w:val="en-GB"/>
        </w:rPr>
        <w:t xml:space="preserve"> 5-bit quantization with s = 1/3 and s= 1/4 both can successfully adapt to the changing channel environment, while s = 1/5 fails to adapt. The reason is that the threshold which dictates the switching point between the two codebooks lies outside the range of  quantization levels determined by s and N.</w:t>
      </w:r>
    </w:p>
    <w:p w14:paraId="1147778B" w14:textId="77777777" w:rsidR="00AC0A4D" w:rsidRDefault="000E0000" w:rsidP="00AC0A4D">
      <w:pPr>
        <w:pStyle w:val="ListParagraph"/>
        <w:keepNext/>
        <w:ind w:left="810"/>
        <w:jc w:val="center"/>
      </w:pPr>
      <w:r w:rsidRPr="00AC0A4D">
        <w:rPr>
          <w:noProof/>
        </w:rPr>
        <w:drawing>
          <wp:inline distT="0" distB="0" distL="0" distR="0" wp14:anchorId="7434875E" wp14:editId="1E3A0A20">
            <wp:extent cx="3991630" cy="2459456"/>
            <wp:effectExtent l="19050" t="19050" r="27940" b="17145"/>
            <wp:docPr id="2" name="Picture 6" descr="A picture containing text, line, diagram, plot&#10;&#10;Description automatically generated">
              <a:extLst xmlns:a="http://schemas.openxmlformats.org/drawingml/2006/main">
                <a:ext uri="{FF2B5EF4-FFF2-40B4-BE49-F238E27FC236}">
                  <a16:creationId xmlns:a16="http://schemas.microsoft.com/office/drawing/2014/main" id="{45FDBE49-93F0-444F-8DCB-E3C6EFBE5B9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A picture containing text, line, diagram, plot&#10;&#10;Description automatically generated">
                      <a:extLst>
                        <a:ext uri="{FF2B5EF4-FFF2-40B4-BE49-F238E27FC236}">
                          <a16:creationId xmlns:a16="http://schemas.microsoft.com/office/drawing/2014/main" id="{45FDBE49-93F0-444F-8DCB-E3C6EFBE5B90}"/>
                        </a:ext>
                      </a:extLst>
                    </pic:cNvPr>
                    <pic:cNvPicPr>
                      <a:picLocks noChangeAspect="1"/>
                    </pic:cNvPicPr>
                  </pic:nvPicPr>
                  <pic:blipFill>
                    <a:blip r:embed="rId13"/>
                    <a:stretch>
                      <a:fillRect/>
                    </a:stretch>
                  </pic:blipFill>
                  <pic:spPr>
                    <a:xfrm>
                      <a:off x="0" y="0"/>
                      <a:ext cx="4002842" cy="2466364"/>
                    </a:xfrm>
                    <a:prstGeom prst="rect">
                      <a:avLst/>
                    </a:prstGeom>
                    <a:ln>
                      <a:solidFill>
                        <a:schemeClr val="tx1"/>
                      </a:solidFill>
                    </a:ln>
                  </pic:spPr>
                </pic:pic>
              </a:graphicData>
            </a:graphic>
          </wp:inline>
        </w:drawing>
      </w:r>
    </w:p>
    <w:p w14:paraId="7DC1C97D" w14:textId="1FB28F83" w:rsidR="00AC0A4D" w:rsidRDefault="00AC0A4D" w:rsidP="00AC0A4D">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rsidRPr="00E65B64">
        <w:t xml:space="preserve">. TDCP amplitude quantization using Alt </w:t>
      </w:r>
      <w:r>
        <w:t>2.</w:t>
      </w:r>
      <w:r w:rsidR="00DF7313">
        <w:t xml:space="preserve"> (s = 1/base)</w:t>
      </w:r>
    </w:p>
    <w:p w14:paraId="0E5BB0E2" w14:textId="7CD4DE27" w:rsidR="00AC0A4D" w:rsidRPr="00AC0A4D" w:rsidRDefault="00EF5012" w:rsidP="00AC0A4D">
      <w:pPr>
        <w:rPr>
          <w:lang w:val="en-GB"/>
        </w:rPr>
      </w:pPr>
      <w:r>
        <w:rPr>
          <w:lang w:val="en-GB"/>
        </w:rPr>
        <w:t xml:space="preserve">Figure 2, on the other hand, shows that all options fail to adapt when </w:t>
      </w:r>
      <m:oMath>
        <m:r>
          <w:rPr>
            <w:rFonts w:ascii="Cambria Math" w:hAnsi="Cambria Math"/>
            <w:lang w:val="en-GB"/>
          </w:rPr>
          <m:t>Q=3</m:t>
        </m:r>
      </m:oMath>
      <w:r>
        <w:rPr>
          <w:lang w:val="en-GB"/>
        </w:rPr>
        <w:t xml:space="preserve"> and </w:t>
      </w:r>
      <m:oMath>
        <m:r>
          <w:rPr>
            <w:rFonts w:ascii="Cambria Math" w:hAnsi="Cambria Math"/>
            <w:lang w:val="en-GB"/>
          </w:rPr>
          <m:t>N=</m:t>
        </m:r>
        <m:sSup>
          <m:sSupPr>
            <m:ctrlPr>
              <w:rPr>
                <w:rFonts w:ascii="Cambria Math" w:hAnsi="Cambria Math"/>
                <w:i/>
                <w:lang w:val="en-GB"/>
              </w:rPr>
            </m:ctrlPr>
          </m:sSupPr>
          <m:e>
            <m:r>
              <w:rPr>
                <w:rFonts w:ascii="Cambria Math" w:hAnsi="Cambria Math"/>
                <w:lang w:val="en-GB"/>
              </w:rPr>
              <m:t>2</m:t>
            </m:r>
          </m:e>
          <m:sup>
            <m:r>
              <w:rPr>
                <w:rFonts w:ascii="Cambria Math" w:hAnsi="Cambria Math"/>
                <w:lang w:val="en-GB"/>
              </w:rPr>
              <m:t>Q</m:t>
            </m:r>
          </m:sup>
        </m:sSup>
      </m:oMath>
      <w:r>
        <w:rPr>
          <w:lang w:val="en-GB"/>
        </w:rPr>
        <w:t>.</w:t>
      </w:r>
    </w:p>
    <w:p w14:paraId="6E9D73F0" w14:textId="77777777" w:rsidR="00AC0A4D" w:rsidRDefault="000E0000" w:rsidP="00AC0A4D">
      <w:pPr>
        <w:pStyle w:val="ListParagraph"/>
        <w:keepNext/>
        <w:ind w:left="810"/>
        <w:jc w:val="center"/>
      </w:pPr>
      <w:r w:rsidRPr="00AC0A4D">
        <w:rPr>
          <w:noProof/>
        </w:rPr>
        <w:lastRenderedPageBreak/>
        <w:drawing>
          <wp:inline distT="0" distB="0" distL="0" distR="0" wp14:anchorId="33A33389" wp14:editId="16FCD44E">
            <wp:extent cx="3987102" cy="2314726"/>
            <wp:effectExtent l="19050" t="19050" r="13970" b="9525"/>
            <wp:docPr id="4" name="Picture 4" descr="A picture containing text, line, plot, diagram&#10;&#10;Description automatically generated">
              <a:extLst xmlns:a="http://schemas.openxmlformats.org/drawingml/2006/main">
                <a:ext uri="{FF2B5EF4-FFF2-40B4-BE49-F238E27FC236}">
                  <a16:creationId xmlns:a16="http://schemas.microsoft.com/office/drawing/2014/main" id="{80CBB0BB-9697-4C09-9F71-835C860F498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A picture containing text, line, plot, diagram&#10;&#10;Description automatically generated">
                      <a:extLst>
                        <a:ext uri="{FF2B5EF4-FFF2-40B4-BE49-F238E27FC236}">
                          <a16:creationId xmlns:a16="http://schemas.microsoft.com/office/drawing/2014/main" id="{80CBB0BB-9697-4C09-9F71-835C860F4985}"/>
                        </a:ext>
                      </a:extLst>
                    </pic:cNvPr>
                    <pic:cNvPicPr>
                      <a:picLocks noChangeAspect="1"/>
                    </pic:cNvPicPr>
                  </pic:nvPicPr>
                  <pic:blipFill>
                    <a:blip r:embed="rId14" cstate="print">
                      <a:extLst>
                        <a:ext uri="{28A0092B-C50C-407E-A947-70E740481C1C}">
                          <a14:useLocalDpi xmlns:a14="http://schemas.microsoft.com/office/drawing/2010/main" val="0"/>
                        </a:ext>
                      </a:extLst>
                    </a:blip>
                    <a:srcRect/>
                    <a:stretch/>
                  </pic:blipFill>
                  <pic:spPr>
                    <a:xfrm>
                      <a:off x="0" y="0"/>
                      <a:ext cx="3987102" cy="2314726"/>
                    </a:xfrm>
                    <a:prstGeom prst="rect">
                      <a:avLst/>
                    </a:prstGeom>
                    <a:ln>
                      <a:solidFill>
                        <a:schemeClr val="tx1"/>
                      </a:solidFill>
                    </a:ln>
                  </pic:spPr>
                </pic:pic>
              </a:graphicData>
            </a:graphic>
          </wp:inline>
        </w:drawing>
      </w:r>
    </w:p>
    <w:p w14:paraId="2975B3FA" w14:textId="307D9BCE" w:rsidR="00AC0A4D" w:rsidRPr="00E07099" w:rsidRDefault="00AC0A4D" w:rsidP="00AC0A4D">
      <w:pPr>
        <w:pStyle w:val="Caption"/>
        <w:jc w:val="center"/>
      </w:pPr>
      <w:r>
        <w:t xml:space="preserve">Figure </w:t>
      </w:r>
      <w:r>
        <w:fldChar w:fldCharType="begin"/>
      </w:r>
      <w:r>
        <w:instrText xml:space="preserve"> SEQ Figure \* ARABIC </w:instrText>
      </w:r>
      <w:r>
        <w:fldChar w:fldCharType="separate"/>
      </w:r>
      <w:r>
        <w:rPr>
          <w:noProof/>
        </w:rPr>
        <w:t>3</w:t>
      </w:r>
      <w:r>
        <w:fldChar w:fldCharType="end"/>
      </w:r>
      <w:r w:rsidRPr="00206211">
        <w:t xml:space="preserve">. TDCP amplitude quantization using Alt </w:t>
      </w:r>
      <w:r>
        <w:t>3</w:t>
      </w:r>
      <w:r w:rsidRPr="00206211">
        <w:t>.</w:t>
      </w:r>
      <w:r w:rsidR="00DF7313">
        <w:t xml:space="preserve"> (s = 1/base)</w:t>
      </w:r>
    </w:p>
    <w:p w14:paraId="7A82F914" w14:textId="50CD83AA" w:rsidR="000E0000" w:rsidRDefault="00EF5012" w:rsidP="000E0000">
      <w:pPr>
        <w:rPr>
          <w:lang w:val="en-GB"/>
        </w:rPr>
      </w:pPr>
      <w:r>
        <w:rPr>
          <w:lang w:val="en-GB"/>
        </w:rPr>
        <w:t xml:space="preserve">Finally, Figure 3 show that when </w:t>
      </w:r>
      <m:oMath>
        <m:r>
          <w:rPr>
            <w:rFonts w:ascii="Cambria Math" w:hAnsi="Cambria Math"/>
            <w:lang w:val="en-GB"/>
          </w:rPr>
          <m:t>Q=4</m:t>
        </m:r>
      </m:oMath>
      <w:r>
        <w:rPr>
          <w:lang w:val="en-GB"/>
        </w:rPr>
        <w:t xml:space="preserve">, only </w:t>
      </w:r>
      <m:oMath>
        <m:r>
          <w:rPr>
            <w:rFonts w:ascii="Cambria Math" w:hAnsi="Cambria Math"/>
            <w:lang w:val="en-GB"/>
          </w:rPr>
          <m:t>s=</m:t>
        </m:r>
        <m:f>
          <m:fPr>
            <m:ctrlPr>
              <w:rPr>
                <w:rFonts w:ascii="Cambria Math" w:hAnsi="Cambria Math"/>
                <w:i/>
                <w:lang w:val="en-GB"/>
              </w:rPr>
            </m:ctrlPr>
          </m:fPr>
          <m:num>
            <m:r>
              <w:rPr>
                <w:rFonts w:ascii="Cambria Math" w:hAnsi="Cambria Math"/>
                <w:lang w:val="en-GB"/>
              </w:rPr>
              <m:t>1</m:t>
            </m:r>
          </m:num>
          <m:den>
            <m:r>
              <w:rPr>
                <w:rFonts w:ascii="Cambria Math" w:hAnsi="Cambria Math"/>
                <w:lang w:val="en-GB"/>
              </w:rPr>
              <m:t>2</m:t>
            </m:r>
          </m:den>
        </m:f>
        <m:r>
          <w:rPr>
            <w:rFonts w:ascii="Cambria Math" w:hAnsi="Cambria Math"/>
            <w:lang w:val="en-GB"/>
          </w:rPr>
          <m:t>,</m:t>
        </m:r>
        <m:f>
          <m:fPr>
            <m:ctrlPr>
              <w:rPr>
                <w:rFonts w:ascii="Cambria Math" w:hAnsi="Cambria Math"/>
                <w:i/>
                <w:lang w:val="en-GB"/>
              </w:rPr>
            </m:ctrlPr>
          </m:fPr>
          <m:num>
            <m:r>
              <w:rPr>
                <w:rFonts w:ascii="Cambria Math" w:hAnsi="Cambria Math"/>
                <w:lang w:val="en-GB"/>
              </w:rPr>
              <m:t>2</m:t>
            </m:r>
          </m:num>
          <m:den>
            <m:r>
              <w:rPr>
                <w:rFonts w:ascii="Cambria Math" w:hAnsi="Cambria Math"/>
                <w:lang w:val="en-GB"/>
              </w:rPr>
              <m:t>3</m:t>
            </m:r>
          </m:den>
        </m:f>
        <m:r>
          <w:rPr>
            <w:rFonts w:ascii="Cambria Math" w:hAnsi="Cambria Math"/>
            <w:lang w:val="en-GB"/>
          </w:rPr>
          <m:t>,</m:t>
        </m:r>
        <m:f>
          <m:fPr>
            <m:ctrlPr>
              <w:rPr>
                <w:rFonts w:ascii="Cambria Math" w:hAnsi="Cambria Math"/>
                <w:i/>
                <w:lang w:val="en-GB"/>
              </w:rPr>
            </m:ctrlPr>
          </m:fPr>
          <m:num>
            <m:r>
              <w:rPr>
                <w:rFonts w:ascii="Cambria Math" w:hAnsi="Cambria Math"/>
                <w:lang w:val="en-GB"/>
              </w:rPr>
              <m:t>3</m:t>
            </m:r>
          </m:num>
          <m:den>
            <m:r>
              <w:rPr>
                <w:rFonts w:ascii="Cambria Math" w:hAnsi="Cambria Math"/>
                <w:lang w:val="en-GB"/>
              </w:rPr>
              <m:t>4</m:t>
            </m:r>
          </m:den>
        </m:f>
      </m:oMath>
      <w:r w:rsidR="00FF2D7F">
        <w:rPr>
          <w:lang w:val="en-GB"/>
        </w:rPr>
        <w:t xml:space="preserve"> can adapt to the changing channel environment and select the optimal codebook, while </w:t>
      </w:r>
      <m:oMath>
        <m:r>
          <w:rPr>
            <w:rFonts w:ascii="Cambria Math" w:hAnsi="Cambria Math"/>
            <w:lang w:val="en-GB"/>
          </w:rPr>
          <m:t>s=1/4</m:t>
        </m:r>
      </m:oMath>
      <w:r w:rsidR="00FF2D7F">
        <w:rPr>
          <w:lang w:val="en-GB"/>
        </w:rPr>
        <w:t xml:space="preserve"> fails to adapt.</w:t>
      </w:r>
    </w:p>
    <w:p w14:paraId="7740E9EB" w14:textId="5E014B76" w:rsidR="00FF2D7F" w:rsidRDefault="00FF2D7F" w:rsidP="000E0000">
      <w:pPr>
        <w:rPr>
          <w:lang w:val="en-GB"/>
        </w:rPr>
      </w:pPr>
      <w:r w:rsidRPr="00FF2D7F">
        <w:rPr>
          <w:b/>
          <w:bCs/>
          <w:i/>
          <w:iCs/>
          <w:lang w:val="en-GB"/>
        </w:rPr>
        <w:t>Proposal</w:t>
      </w:r>
      <w:r w:rsidR="00E71D0D">
        <w:rPr>
          <w:b/>
          <w:bCs/>
          <w:i/>
          <w:iCs/>
          <w:lang w:val="en-GB"/>
        </w:rPr>
        <w:t xml:space="preserve"> 4</w:t>
      </w:r>
      <w:r>
        <w:rPr>
          <w:lang w:val="en-GB"/>
        </w:rPr>
        <w:t>: For TDCP amplitude quantization, down-select from the following alternatives:</w:t>
      </w:r>
    </w:p>
    <w:p w14:paraId="5F9A8939" w14:textId="720E6EE1" w:rsidR="00FF2D7F" w:rsidRPr="00A1265A" w:rsidRDefault="00FF2D7F" w:rsidP="00FF2D7F">
      <w:pPr>
        <w:numPr>
          <w:ilvl w:val="0"/>
          <w:numId w:val="45"/>
        </w:numPr>
        <w:spacing w:after="0"/>
        <w:ind w:left="1267"/>
        <w:contextualSpacing/>
        <w:rPr>
          <w:rFonts w:eastAsia="Times New Roman"/>
          <w:szCs w:val="28"/>
          <w:lang w:eastAsia="zh-CN"/>
        </w:rPr>
      </w:pPr>
      <w:r w:rsidRPr="00A1265A">
        <w:rPr>
          <w:rFonts w:ascii="Times" w:eastAsia="Batang" w:hAnsi="Times" w:cs="Times"/>
          <w:color w:val="000000"/>
          <w:kern w:val="24"/>
          <w:szCs w:val="22"/>
          <w:lang w:val="en-GB" w:eastAsia="zh-CN"/>
        </w:rPr>
        <w:t>Alt1: N=2</w:t>
      </w:r>
      <w:r w:rsidRPr="00A1265A">
        <w:rPr>
          <w:rFonts w:ascii="Times" w:eastAsia="Batang" w:hAnsi="Times" w:cs="Times"/>
          <w:color w:val="000000"/>
          <w:kern w:val="24"/>
          <w:position w:val="6"/>
          <w:szCs w:val="22"/>
          <w:vertAlign w:val="superscript"/>
          <w:lang w:val="en-GB" w:eastAsia="zh-CN"/>
        </w:rPr>
        <w:t>Q</w:t>
      </w:r>
      <w:r w:rsidRPr="00A1265A">
        <w:rPr>
          <w:rFonts w:ascii="Times" w:eastAsia="Batang" w:hAnsi="Times" w:cs="Times"/>
          <w:color w:val="000000"/>
          <w:kern w:val="24"/>
          <w:szCs w:val="22"/>
          <w:lang w:val="en-GB" w:eastAsia="zh-CN"/>
        </w:rPr>
        <w:t xml:space="preserve">-1 where Q=5, s={¼, 1/3} </w:t>
      </w:r>
    </w:p>
    <w:p w14:paraId="7E2846CB" w14:textId="2EC0A015" w:rsidR="00FF2D7F" w:rsidRPr="00A1265A" w:rsidRDefault="00FF2D7F" w:rsidP="00FF2D7F">
      <w:pPr>
        <w:numPr>
          <w:ilvl w:val="0"/>
          <w:numId w:val="45"/>
        </w:numPr>
        <w:spacing w:after="0"/>
        <w:ind w:left="1267"/>
        <w:contextualSpacing/>
        <w:rPr>
          <w:rFonts w:eastAsia="Times New Roman"/>
          <w:szCs w:val="28"/>
          <w:lang w:eastAsia="zh-CN"/>
        </w:rPr>
      </w:pPr>
      <w:r w:rsidRPr="00A1265A">
        <w:rPr>
          <w:rFonts w:ascii="Times" w:eastAsia="Batang" w:hAnsi="Times" w:cs="Times"/>
          <w:color w:val="000000"/>
          <w:kern w:val="24"/>
          <w:szCs w:val="22"/>
          <w:lang w:val="en-GB" w:eastAsia="zh-CN"/>
        </w:rPr>
        <w:t>Alt3: N=2</w:t>
      </w:r>
      <w:r w:rsidRPr="00A1265A">
        <w:rPr>
          <w:rFonts w:ascii="Times" w:eastAsia="Batang" w:hAnsi="Times" w:cs="Times"/>
          <w:color w:val="000000"/>
          <w:kern w:val="24"/>
          <w:position w:val="6"/>
          <w:szCs w:val="22"/>
          <w:vertAlign w:val="superscript"/>
          <w:lang w:val="en-GB" w:eastAsia="zh-CN"/>
        </w:rPr>
        <w:t>Q</w:t>
      </w:r>
      <w:r w:rsidRPr="00A1265A">
        <w:rPr>
          <w:rFonts w:ascii="Times" w:eastAsia="Batang" w:hAnsi="Times" w:cs="Times"/>
          <w:color w:val="000000"/>
          <w:kern w:val="24"/>
          <w:szCs w:val="22"/>
          <w:lang w:val="en-GB" w:eastAsia="zh-CN"/>
        </w:rPr>
        <w:t xml:space="preserve"> where Q=4, s={½, 2/3, ¾} </w:t>
      </w:r>
    </w:p>
    <w:p w14:paraId="7E7170EC" w14:textId="77777777" w:rsidR="00FF2D7F" w:rsidRPr="00FF2D7F" w:rsidRDefault="00FF2D7F" w:rsidP="000E0000"/>
    <w:p w14:paraId="1449EDB0" w14:textId="4611C9BF" w:rsidR="00A1265A" w:rsidRDefault="00A1265A" w:rsidP="00A1265A">
      <w:pPr>
        <w:pStyle w:val="Heading3"/>
      </w:pPr>
      <w:r>
        <w:t>2.3.3 TDCP phase quantization</w:t>
      </w:r>
    </w:p>
    <w:p w14:paraId="33756EB7" w14:textId="3B254383" w:rsidR="00917D0B" w:rsidRPr="00917D0B" w:rsidRDefault="00917D0B" w:rsidP="00917D0B">
      <w:pPr>
        <w:rPr>
          <w:lang w:val="en-GB"/>
        </w:rPr>
      </w:pPr>
      <w:r w:rsidRPr="00E07099">
        <w:rPr>
          <w:lang w:val="en-GB"/>
        </w:rPr>
        <w:t>In RAN1 #112-bis-e, the following agreement</w:t>
      </w:r>
      <w:r>
        <w:rPr>
          <w:lang w:val="en-GB"/>
        </w:rPr>
        <w:t>s</w:t>
      </w:r>
      <w:r w:rsidRPr="00E07099">
        <w:rPr>
          <w:lang w:val="en-GB"/>
        </w:rPr>
        <w:t xml:space="preserve"> w</w:t>
      </w:r>
      <w:r>
        <w:rPr>
          <w:lang w:val="en-GB"/>
        </w:rPr>
        <w:t>ere</w:t>
      </w:r>
      <w:r w:rsidRPr="00E07099">
        <w:rPr>
          <w:lang w:val="en-GB"/>
        </w:rPr>
        <w:t xml:space="preserve"> made regarding TDCP reporting [2]:</w:t>
      </w:r>
    </w:p>
    <w:tbl>
      <w:tblPr>
        <w:tblStyle w:val="TableGrid"/>
        <w:tblW w:w="0" w:type="auto"/>
        <w:tblLook w:val="04A0" w:firstRow="1" w:lastRow="0" w:firstColumn="1" w:lastColumn="0" w:noHBand="0" w:noVBand="1"/>
      </w:tblPr>
      <w:tblGrid>
        <w:gridCol w:w="9631"/>
      </w:tblGrid>
      <w:tr w:rsidR="007F0E6C" w14:paraId="0D977D38" w14:textId="77777777" w:rsidTr="00A1265A">
        <w:tc>
          <w:tcPr>
            <w:tcW w:w="9631" w:type="dxa"/>
          </w:tcPr>
          <w:p w14:paraId="7A85CF9C" w14:textId="77777777" w:rsidR="007F0E6C" w:rsidRPr="00A1265A" w:rsidRDefault="007F0E6C" w:rsidP="007F0E6C">
            <w:pPr>
              <w:spacing w:after="0"/>
              <w:rPr>
                <w:rFonts w:eastAsia="Times New Roman"/>
                <w:sz w:val="28"/>
                <w:szCs w:val="28"/>
                <w:lang w:eastAsia="zh-CN"/>
              </w:rPr>
            </w:pPr>
            <w:r w:rsidRPr="00A1265A">
              <w:rPr>
                <w:rFonts w:ascii="Times" w:eastAsia="Malgun Gothic" w:hAnsi="Times"/>
                <w:b/>
                <w:bCs/>
                <w:color w:val="000000"/>
                <w:kern w:val="24"/>
                <w:szCs w:val="22"/>
                <w:highlight w:val="green"/>
                <w:lang w:val="en-GB" w:eastAsia="zh-CN"/>
              </w:rPr>
              <w:t>Agreement</w:t>
            </w:r>
          </w:p>
          <w:p w14:paraId="7A7A8556" w14:textId="77777777" w:rsidR="007F0E6C" w:rsidRPr="00A1265A" w:rsidRDefault="007F0E6C" w:rsidP="007F0E6C">
            <w:pPr>
              <w:spacing w:after="0"/>
              <w:rPr>
                <w:rFonts w:eastAsia="Times New Roman"/>
                <w:sz w:val="28"/>
                <w:szCs w:val="28"/>
                <w:lang w:eastAsia="zh-CN"/>
              </w:rPr>
            </w:pPr>
            <w:r w:rsidRPr="00A1265A">
              <w:rPr>
                <w:rFonts w:ascii="Times" w:eastAsia="Malgun Gothic" w:hAnsi="Times"/>
                <w:color w:val="000000"/>
                <w:kern w:val="24"/>
                <w:szCs w:val="22"/>
                <w:lang w:val="en-GB" w:eastAsia="zh-CN"/>
              </w:rPr>
              <w:t>For the Rel-18 TRS-based TDCP reporting, regarding phase quantization, down-select (by RAN1#113) from the following candidates:</w:t>
            </w:r>
          </w:p>
          <w:p w14:paraId="495A2336" w14:textId="77777777" w:rsidR="007F0E6C" w:rsidRPr="00A1265A" w:rsidRDefault="007F0E6C" w:rsidP="007F0E6C">
            <w:pPr>
              <w:numPr>
                <w:ilvl w:val="0"/>
                <w:numId w:val="46"/>
              </w:numPr>
              <w:spacing w:after="0"/>
              <w:ind w:left="994"/>
              <w:contextualSpacing/>
              <w:rPr>
                <w:rFonts w:eastAsia="Times New Roman"/>
                <w:szCs w:val="28"/>
                <w:lang w:eastAsia="zh-CN"/>
              </w:rPr>
            </w:pPr>
            <w:r w:rsidRPr="00A1265A">
              <w:rPr>
                <w:rFonts w:ascii="Times" w:eastAsia="Malgun Gothic" w:hAnsi="Times"/>
                <w:color w:val="000000"/>
                <w:kern w:val="24"/>
                <w:szCs w:val="22"/>
                <w:lang w:val="en-GB" w:eastAsia="zh-CN"/>
              </w:rPr>
              <w:t xml:space="preserve">Alt1. 1-bit (early vs. late) phase indicator </w:t>
            </w:r>
          </w:p>
          <w:p w14:paraId="2205A8E8" w14:textId="77777777" w:rsidR="007F0E6C" w:rsidRPr="00A1265A" w:rsidRDefault="007F0E6C" w:rsidP="007F0E6C">
            <w:pPr>
              <w:numPr>
                <w:ilvl w:val="0"/>
                <w:numId w:val="46"/>
              </w:numPr>
              <w:spacing w:after="0"/>
              <w:ind w:left="994"/>
              <w:contextualSpacing/>
              <w:rPr>
                <w:rFonts w:eastAsia="Times New Roman"/>
                <w:szCs w:val="28"/>
                <w:lang w:eastAsia="zh-CN"/>
              </w:rPr>
            </w:pPr>
            <w:r w:rsidRPr="00A1265A">
              <w:rPr>
                <w:rFonts w:ascii="Times" w:eastAsia="Malgun Gothic" w:hAnsi="Times"/>
                <w:color w:val="000000"/>
                <w:kern w:val="24"/>
                <w:szCs w:val="22"/>
                <w:lang w:val="en-GB" w:eastAsia="zh-CN"/>
              </w:rPr>
              <w:t>Alt2. 3-bit (8-PSK) uniform quantization</w:t>
            </w:r>
          </w:p>
          <w:p w14:paraId="4E2DA166" w14:textId="77777777" w:rsidR="007F0E6C" w:rsidRPr="00A1265A" w:rsidRDefault="007F0E6C" w:rsidP="007F0E6C">
            <w:pPr>
              <w:numPr>
                <w:ilvl w:val="0"/>
                <w:numId w:val="46"/>
              </w:numPr>
              <w:spacing w:after="0"/>
              <w:ind w:left="994"/>
              <w:contextualSpacing/>
              <w:rPr>
                <w:rFonts w:eastAsia="Times New Roman"/>
                <w:szCs w:val="28"/>
                <w:lang w:eastAsia="zh-CN"/>
              </w:rPr>
            </w:pPr>
            <w:r w:rsidRPr="00A1265A">
              <w:rPr>
                <w:rFonts w:ascii="Times" w:eastAsia="Malgun Gothic" w:hAnsi="Times"/>
                <w:color w:val="000000"/>
                <w:kern w:val="24"/>
                <w:szCs w:val="22"/>
                <w:lang w:val="en-GB" w:eastAsia="zh-CN"/>
              </w:rPr>
              <w:t>Alt3. 4-bit (16-PSK) uniform quantization (full reuse of Rel-16 eType-II W2 phase quantization)</w:t>
            </w:r>
          </w:p>
          <w:p w14:paraId="4795AD15" w14:textId="77777777" w:rsidR="007F0E6C" w:rsidRPr="00A1265A" w:rsidRDefault="007F0E6C" w:rsidP="007F0E6C">
            <w:pPr>
              <w:numPr>
                <w:ilvl w:val="0"/>
                <w:numId w:val="46"/>
              </w:numPr>
              <w:spacing w:after="0"/>
              <w:ind w:left="994"/>
              <w:contextualSpacing/>
              <w:rPr>
                <w:rFonts w:eastAsia="Times New Roman"/>
                <w:szCs w:val="28"/>
                <w:lang w:eastAsia="zh-CN"/>
              </w:rPr>
            </w:pPr>
            <w:r w:rsidRPr="00A1265A">
              <w:rPr>
                <w:rFonts w:ascii="Times" w:eastAsia="Malgun Gothic" w:hAnsi="Times"/>
                <w:color w:val="000000"/>
                <w:kern w:val="24"/>
                <w:szCs w:val="22"/>
                <w:lang w:val="en-GB" w:eastAsia="zh-CN"/>
              </w:rPr>
              <w:t>Alt4. Adaptive/gNB-configurable phase quantizer e.g.</w:t>
            </w:r>
          </w:p>
          <w:p w14:paraId="541DCF1A" w14:textId="77777777" w:rsidR="007F0E6C" w:rsidRPr="00A1265A" w:rsidRDefault="000A6AE6" w:rsidP="007F0E6C">
            <w:pPr>
              <w:spacing w:after="0"/>
              <w:rPr>
                <w:rFonts w:eastAsia="Times New Roman"/>
                <w:sz w:val="28"/>
                <w:szCs w:val="28"/>
                <w:lang w:eastAsia="zh-CN"/>
              </w:rPr>
            </w:pPr>
            <m:oMath>
              <m:d>
                <m:dPr>
                  <m:begChr m:val="{"/>
                  <m:endChr m:val="}"/>
                  <m:ctrlPr>
                    <w:rPr>
                      <w:rFonts w:ascii="Cambria Math" w:eastAsia="+mn-ea" w:hAnsi="Cambria Math" w:cs="+mn-cs"/>
                      <w:i/>
                      <w:iCs/>
                      <w:color w:val="000000"/>
                      <w:kern w:val="24"/>
                      <w:szCs w:val="22"/>
                      <w:lang w:eastAsia="zh-CN"/>
                    </w:rPr>
                  </m:ctrlPr>
                </m:dPr>
                <m:e>
                  <m:r>
                    <w:rPr>
                      <w:rFonts w:ascii="Cambria Math" w:eastAsia="+mn-ea" w:hAnsi="Cambria Math" w:cs="+mn-cs"/>
                      <w:color w:val="000000"/>
                      <w:kern w:val="24"/>
                      <w:szCs w:val="22"/>
                      <w:lang w:eastAsia="zh-CN"/>
                    </w:rPr>
                    <m:t>m</m:t>
                  </m:r>
                  <m:r>
                    <w:rPr>
                      <w:rFonts w:ascii="Cambria Math" w:eastAsia="+mn-ea" w:hAnsi="+mn-ea" w:cs="+mn-cs"/>
                      <w:color w:val="000000"/>
                      <w:kern w:val="24"/>
                      <w:szCs w:val="22"/>
                      <w:lang w:eastAsia="zh-CN"/>
                    </w:rPr>
                    <m:t>×</m:t>
                  </m:r>
                  <m:r>
                    <w:rPr>
                      <w:rFonts w:ascii="Cambria Math" w:eastAsia="+mn-ea" w:hAnsi="Cambria Math" w:cs="+mn-cs"/>
                      <w:color w:val="000000"/>
                      <w:kern w:val="24"/>
                      <w:szCs w:val="22"/>
                      <w:lang w:eastAsia="zh-CN"/>
                    </w:rPr>
                    <m:t>f</m:t>
                  </m:r>
                  <m:d>
                    <m:dPr>
                      <m:ctrlPr>
                        <w:rPr>
                          <w:rFonts w:ascii="Cambria Math" w:eastAsia="+mn-ea" w:hAnsi="Cambria Math" w:cs="+mn-cs"/>
                          <w:i/>
                          <w:iCs/>
                          <w:color w:val="000000"/>
                          <w:kern w:val="24"/>
                          <w:szCs w:val="22"/>
                          <w:lang w:eastAsia="zh-CN"/>
                        </w:rPr>
                      </m:ctrlPr>
                    </m:dPr>
                    <m:e>
                      <m:r>
                        <w:rPr>
                          <w:rFonts w:ascii="Cambria Math" w:eastAsia="+mn-ea" w:hAnsi="Cambria Math" w:cs="+mn-cs"/>
                          <w:color w:val="000000"/>
                          <w:kern w:val="24"/>
                          <w:szCs w:val="22"/>
                          <w:lang w:eastAsia="zh-CN"/>
                        </w:rPr>
                        <m:t>q</m:t>
                      </m:r>
                    </m:e>
                  </m:d>
                  <m:r>
                    <w:rPr>
                      <w:rFonts w:ascii="Cambria Math" w:eastAsia="+mn-ea" w:hAnsi="Cambria Math" w:cs="+mn-cs"/>
                      <w:color w:val="000000"/>
                      <w:kern w:val="24"/>
                      <w:szCs w:val="22"/>
                      <w:lang w:eastAsia="zh-CN"/>
                    </w:rPr>
                    <m:t>+c, q=0,1,2,…,</m:t>
                  </m:r>
                  <m:sSup>
                    <m:sSupPr>
                      <m:ctrlPr>
                        <w:rPr>
                          <w:rFonts w:ascii="Cambria Math" w:eastAsia="+mn-ea" w:hAnsi="Cambria Math" w:cs="+mn-cs"/>
                          <w:i/>
                          <w:iCs/>
                          <w:color w:val="000000"/>
                          <w:kern w:val="24"/>
                          <w:szCs w:val="22"/>
                          <w:lang w:eastAsia="zh-CN"/>
                        </w:rPr>
                      </m:ctrlPr>
                    </m:sSupPr>
                    <m:e>
                      <m:r>
                        <w:rPr>
                          <w:rFonts w:ascii="Cambria Math" w:eastAsia="+mn-ea" w:hAnsi="Cambria Math" w:cs="+mn-cs"/>
                          <w:color w:val="000000"/>
                          <w:kern w:val="24"/>
                          <w:szCs w:val="22"/>
                          <w:lang w:eastAsia="zh-CN"/>
                        </w:rPr>
                        <m:t>2</m:t>
                      </m:r>
                    </m:e>
                    <m:sup>
                      <m:r>
                        <w:rPr>
                          <w:rFonts w:ascii="Cambria Math" w:eastAsia="+mn-ea" w:hAnsi="Cambria Math" w:cs="+mn-cs"/>
                          <w:color w:val="000000"/>
                          <w:kern w:val="24"/>
                          <w:szCs w:val="22"/>
                          <w:lang w:eastAsia="zh-CN"/>
                        </w:rPr>
                        <m:t>Q</m:t>
                      </m:r>
                    </m:sup>
                  </m:sSup>
                  <m:r>
                    <w:rPr>
                      <w:rFonts w:ascii="Cambria Math" w:eastAsia="+mn-ea" w:hAnsi="Cambria Math" w:cs="+mn-cs"/>
                      <w:color w:val="000000"/>
                      <w:kern w:val="24"/>
                      <w:szCs w:val="22"/>
                      <w:lang w:eastAsia="zh-CN"/>
                    </w:rPr>
                    <m:t>-1</m:t>
                  </m:r>
                </m:e>
              </m:d>
            </m:oMath>
            <w:r w:rsidR="007F0E6C" w:rsidRPr="00A1265A">
              <w:rPr>
                <w:rFonts w:ascii="Calibri" w:eastAsia="+mn-ea" w:hAnsi="Calibri" w:cs="+mn-cs"/>
                <w:color w:val="000000"/>
                <w:kern w:val="24"/>
                <w:szCs w:val="22"/>
                <w:lang w:eastAsia="zh-CN"/>
              </w:rPr>
              <w:t>, where</w:t>
            </w:r>
          </w:p>
          <w:p w14:paraId="169EF56F" w14:textId="77777777" w:rsidR="007F0E6C" w:rsidRPr="00A1265A" w:rsidRDefault="007F0E6C" w:rsidP="005D0B6C">
            <w:pPr>
              <w:numPr>
                <w:ilvl w:val="1"/>
                <w:numId w:val="47"/>
              </w:numPr>
              <w:spacing w:after="0"/>
              <w:ind w:left="1861"/>
              <w:contextualSpacing/>
              <w:rPr>
                <w:rFonts w:eastAsia="Times New Roman"/>
                <w:szCs w:val="28"/>
                <w:lang w:eastAsia="zh-CN"/>
              </w:rPr>
            </w:pPr>
            <m:oMath>
              <m:r>
                <w:rPr>
                  <w:rFonts w:ascii="Cambria Math" w:eastAsia="+mn-ea" w:hAnsi="Cambria Math" w:cs="+mn-cs"/>
                  <w:color w:val="000000"/>
                  <w:kern w:val="24"/>
                  <w:szCs w:val="22"/>
                  <w:lang w:eastAsia="zh-CN"/>
                </w:rPr>
                <m:t>f(q)</m:t>
              </m:r>
            </m:oMath>
            <w:r w:rsidRPr="00A1265A">
              <w:rPr>
                <w:rFonts w:ascii="Calibri" w:eastAsia="+mn-ea" w:hAnsi="Calibri" w:cs="+mn-cs"/>
                <w:color w:val="000000"/>
                <w:kern w:val="24"/>
                <w:szCs w:val="22"/>
                <w:lang w:eastAsia="zh-CN"/>
              </w:rPr>
              <w:t>: Legacy (Rel.16) based</w:t>
            </w:r>
          </w:p>
          <w:p w14:paraId="6B3A66C2" w14:textId="77777777" w:rsidR="007F0E6C" w:rsidRPr="00A1265A" w:rsidRDefault="007F0E6C" w:rsidP="005D0B6C">
            <w:pPr>
              <w:numPr>
                <w:ilvl w:val="2"/>
                <w:numId w:val="47"/>
              </w:numPr>
              <w:spacing w:after="0"/>
              <w:ind w:left="1861"/>
              <w:contextualSpacing/>
              <w:rPr>
                <w:rFonts w:eastAsia="Times New Roman"/>
                <w:szCs w:val="28"/>
                <w:lang w:eastAsia="zh-CN"/>
              </w:rPr>
            </w:pPr>
            <w:r w:rsidRPr="00A1265A">
              <w:rPr>
                <w:rFonts w:ascii="Calibri" w:eastAsia="+mn-ea" w:hAnsi="Calibri" w:cs="+mn-cs"/>
                <w:color w:val="000000"/>
                <w:kern w:val="24"/>
                <w:szCs w:val="22"/>
                <w:lang w:eastAsia="zh-CN"/>
              </w:rPr>
              <w:t xml:space="preserve">Linear: legacy </w:t>
            </w:r>
            <m:oMath>
              <m:sSup>
                <m:sSupPr>
                  <m:ctrlPr>
                    <w:rPr>
                      <w:rFonts w:ascii="Cambria Math" w:eastAsia="+mn-ea" w:hAnsi="Cambria Math" w:cs="+mn-cs"/>
                      <w:i/>
                      <w:iCs/>
                      <w:color w:val="000000"/>
                      <w:kern w:val="24"/>
                      <w:szCs w:val="22"/>
                      <w:lang w:eastAsia="zh-CN"/>
                    </w:rPr>
                  </m:ctrlPr>
                </m:sSupPr>
                <m:e>
                  <m:r>
                    <w:rPr>
                      <w:rFonts w:ascii="Cambria Math" w:eastAsia="+mn-ea" w:hAnsi="Cambria Math" w:cs="+mn-cs"/>
                      <w:color w:val="000000"/>
                      <w:kern w:val="24"/>
                      <w:szCs w:val="22"/>
                      <w:lang w:eastAsia="zh-CN"/>
                    </w:rPr>
                    <m:t>2</m:t>
                  </m:r>
                </m:e>
                <m:sup>
                  <m:r>
                    <w:rPr>
                      <w:rFonts w:ascii="Cambria Math" w:eastAsia="+mn-ea" w:hAnsi="Cambria Math" w:cs="+mn-cs"/>
                      <w:color w:val="000000"/>
                      <w:kern w:val="24"/>
                      <w:szCs w:val="22"/>
                      <w:lang w:eastAsia="zh-CN"/>
                    </w:rPr>
                    <m:t>Q</m:t>
                  </m:r>
                </m:sup>
              </m:sSup>
            </m:oMath>
            <w:r w:rsidRPr="00A1265A">
              <w:rPr>
                <w:rFonts w:ascii="Calibri" w:eastAsia="+mn-ea" w:hAnsi="Calibri" w:cs="+mn-cs"/>
                <w:color w:val="000000"/>
                <w:kern w:val="24"/>
                <w:szCs w:val="22"/>
                <w:lang w:eastAsia="zh-CN"/>
              </w:rPr>
              <w:t>-PSK</w:t>
            </w:r>
          </w:p>
          <w:p w14:paraId="3A850C99" w14:textId="77777777" w:rsidR="007F0E6C" w:rsidRPr="00A1265A" w:rsidRDefault="007F0E6C" w:rsidP="005D0B6C">
            <w:pPr>
              <w:numPr>
                <w:ilvl w:val="2"/>
                <w:numId w:val="47"/>
              </w:numPr>
              <w:spacing w:after="0"/>
              <w:ind w:left="1861"/>
              <w:contextualSpacing/>
              <w:rPr>
                <w:rFonts w:eastAsia="Times New Roman"/>
                <w:szCs w:val="28"/>
                <w:lang w:eastAsia="zh-CN"/>
              </w:rPr>
            </w:pPr>
            <w:r w:rsidRPr="00A1265A">
              <w:rPr>
                <w:rFonts w:ascii="Calibri" w:eastAsia="+mn-ea" w:hAnsi="Calibri" w:cs="+mn-cs"/>
                <w:color w:val="000000"/>
                <w:kern w:val="24"/>
                <w:szCs w:val="22"/>
                <w:lang w:eastAsia="zh-CN"/>
              </w:rPr>
              <w:t xml:space="preserve">Exponential: legacy Rel.16 amplitude, </w:t>
            </w:r>
            <m:oMath>
              <m:sSup>
                <m:sSupPr>
                  <m:ctrlPr>
                    <w:rPr>
                      <w:rFonts w:ascii="Cambria Math" w:eastAsia="+mn-ea" w:hAnsi="Cambria Math" w:cs="+mn-cs"/>
                      <w:i/>
                      <w:iCs/>
                      <w:color w:val="000000"/>
                      <w:kern w:val="24"/>
                      <w:szCs w:val="22"/>
                      <w:lang w:eastAsia="zh-CN"/>
                    </w:rPr>
                  </m:ctrlPr>
                </m:sSupPr>
                <m:e>
                  <m:r>
                    <w:rPr>
                      <w:rFonts w:ascii="Cambria Math" w:eastAsia="+mn-ea" w:hAnsi="Cambria Math" w:cs="+mn-cs"/>
                      <w:color w:val="000000"/>
                      <w:kern w:val="24"/>
                      <w:szCs w:val="22"/>
                      <w:lang w:eastAsia="zh-CN"/>
                    </w:rPr>
                    <m:t>2</m:t>
                  </m:r>
                </m:e>
                <m:sup>
                  <m:r>
                    <w:rPr>
                      <w:rFonts w:ascii="Cambria Math" w:eastAsia="+mn-ea" w:hAnsi="Cambria Math" w:cs="+mn-cs"/>
                      <w:color w:val="000000"/>
                      <w:kern w:val="24"/>
                      <w:szCs w:val="22"/>
                      <w:lang w:eastAsia="zh-CN"/>
                    </w:rPr>
                    <m:t>-</m:t>
                  </m:r>
                  <m:d>
                    <m:dPr>
                      <m:ctrlPr>
                        <w:rPr>
                          <w:rFonts w:ascii="Cambria Math" w:eastAsia="+mn-ea" w:hAnsi="Cambria Math" w:cs="+mn-cs"/>
                          <w:i/>
                          <w:iCs/>
                          <w:color w:val="000000"/>
                          <w:kern w:val="24"/>
                          <w:szCs w:val="22"/>
                          <w:lang w:eastAsia="zh-CN"/>
                        </w:rPr>
                      </m:ctrlPr>
                    </m:dPr>
                    <m:e>
                      <m:sSup>
                        <m:sSupPr>
                          <m:ctrlPr>
                            <w:rPr>
                              <w:rFonts w:ascii="Cambria Math" w:eastAsia="+mn-ea" w:hAnsi="Cambria Math" w:cs="+mn-cs"/>
                              <w:i/>
                              <w:iCs/>
                              <w:color w:val="000000"/>
                              <w:kern w:val="24"/>
                              <w:szCs w:val="22"/>
                              <w:lang w:eastAsia="zh-CN"/>
                            </w:rPr>
                          </m:ctrlPr>
                        </m:sSupPr>
                        <m:e>
                          <m:r>
                            <w:rPr>
                              <w:rFonts w:ascii="Cambria Math" w:eastAsia="+mn-ea" w:hAnsi="Cambria Math" w:cs="+mn-cs"/>
                              <w:color w:val="000000"/>
                              <w:kern w:val="24"/>
                              <w:szCs w:val="22"/>
                              <w:lang w:eastAsia="zh-CN"/>
                            </w:rPr>
                            <m:t>2</m:t>
                          </m:r>
                        </m:e>
                        <m:sup>
                          <m:r>
                            <w:rPr>
                              <w:rFonts w:ascii="Cambria Math" w:eastAsia="+mn-ea" w:hAnsi="Cambria Math" w:cs="+mn-cs"/>
                              <w:color w:val="000000"/>
                              <w:kern w:val="24"/>
                              <w:szCs w:val="22"/>
                              <w:lang w:eastAsia="zh-CN"/>
                            </w:rPr>
                            <m:t>Q</m:t>
                          </m:r>
                        </m:sup>
                      </m:sSup>
                      <m:r>
                        <w:rPr>
                          <w:rFonts w:ascii="Cambria Math" w:eastAsia="+mn-ea" w:hAnsi="Cambria Math" w:cs="+mn-cs"/>
                          <w:color w:val="000000"/>
                          <w:kern w:val="24"/>
                          <w:szCs w:val="22"/>
                          <w:lang w:eastAsia="zh-CN"/>
                        </w:rPr>
                        <m:t>-1-q</m:t>
                      </m:r>
                    </m:e>
                  </m:d>
                  <m:r>
                    <w:rPr>
                      <w:rFonts w:ascii="Cambria Math" w:eastAsia="+mn-ea" w:hAnsi="Cambria Math" w:cs="+mn-cs"/>
                      <w:color w:val="000000"/>
                      <w:kern w:val="24"/>
                      <w:szCs w:val="22"/>
                      <w:lang w:eastAsia="zh-CN"/>
                    </w:rPr>
                    <m:t>.0.25</m:t>
                  </m:r>
                </m:sup>
              </m:sSup>
            </m:oMath>
            <w:r w:rsidRPr="00A1265A">
              <w:rPr>
                <w:rFonts w:ascii="Calibri" w:eastAsia="+mn-ea" w:hAnsi="Calibri" w:cs="+mn-cs"/>
                <w:color w:val="000000"/>
                <w:kern w:val="24"/>
                <w:szCs w:val="22"/>
                <w:lang w:eastAsia="zh-CN"/>
              </w:rPr>
              <w:t xml:space="preserve"> or </w:t>
            </w:r>
            <m:oMath>
              <m:sSup>
                <m:sSupPr>
                  <m:ctrlPr>
                    <w:rPr>
                      <w:rFonts w:ascii="Cambria Math" w:eastAsia="+mn-ea" w:hAnsi="Cambria Math" w:cs="+mn-cs"/>
                      <w:i/>
                      <w:iCs/>
                      <w:color w:val="000000"/>
                      <w:kern w:val="24"/>
                      <w:szCs w:val="22"/>
                      <w:lang w:eastAsia="zh-CN"/>
                    </w:rPr>
                  </m:ctrlPr>
                </m:sSupPr>
                <m:e>
                  <m:r>
                    <w:rPr>
                      <w:rFonts w:ascii="Cambria Math" w:eastAsia="+mn-ea" w:hAnsi="Cambria Math" w:cs="+mn-cs"/>
                      <w:color w:val="000000"/>
                      <w:kern w:val="24"/>
                      <w:szCs w:val="22"/>
                      <w:lang w:eastAsia="zh-CN"/>
                    </w:rPr>
                    <m:t>2</m:t>
                  </m:r>
                </m:e>
                <m:sup>
                  <m:r>
                    <w:rPr>
                      <w:rFonts w:ascii="Cambria Math" w:eastAsia="+mn-ea" w:hAnsi="Cambria Math" w:cs="+mn-cs"/>
                      <w:color w:val="000000"/>
                      <w:kern w:val="24"/>
                      <w:szCs w:val="22"/>
                      <w:lang w:eastAsia="zh-CN"/>
                    </w:rPr>
                    <m:t>-</m:t>
                  </m:r>
                  <m:d>
                    <m:dPr>
                      <m:ctrlPr>
                        <w:rPr>
                          <w:rFonts w:ascii="Cambria Math" w:eastAsia="+mn-ea" w:hAnsi="Cambria Math" w:cs="+mn-cs"/>
                          <w:i/>
                          <w:iCs/>
                          <w:color w:val="000000"/>
                          <w:kern w:val="24"/>
                          <w:szCs w:val="22"/>
                          <w:lang w:eastAsia="zh-CN"/>
                        </w:rPr>
                      </m:ctrlPr>
                    </m:dPr>
                    <m:e>
                      <m:sSup>
                        <m:sSupPr>
                          <m:ctrlPr>
                            <w:rPr>
                              <w:rFonts w:ascii="Cambria Math" w:eastAsia="+mn-ea" w:hAnsi="Cambria Math" w:cs="+mn-cs"/>
                              <w:i/>
                              <w:iCs/>
                              <w:color w:val="000000"/>
                              <w:kern w:val="24"/>
                              <w:szCs w:val="22"/>
                              <w:lang w:eastAsia="zh-CN"/>
                            </w:rPr>
                          </m:ctrlPr>
                        </m:sSupPr>
                        <m:e>
                          <m:r>
                            <w:rPr>
                              <w:rFonts w:ascii="Cambria Math" w:eastAsia="+mn-ea" w:hAnsi="Cambria Math" w:cs="+mn-cs"/>
                              <w:color w:val="000000"/>
                              <w:kern w:val="24"/>
                              <w:szCs w:val="22"/>
                              <w:lang w:eastAsia="zh-CN"/>
                            </w:rPr>
                            <m:t>2</m:t>
                          </m:r>
                        </m:e>
                        <m:sup>
                          <m:r>
                            <w:rPr>
                              <w:rFonts w:ascii="Cambria Math" w:eastAsia="+mn-ea" w:hAnsi="Cambria Math" w:cs="+mn-cs"/>
                              <w:color w:val="000000"/>
                              <w:kern w:val="24"/>
                              <w:szCs w:val="22"/>
                              <w:lang w:eastAsia="zh-CN"/>
                            </w:rPr>
                            <m:t>Q</m:t>
                          </m:r>
                        </m:sup>
                      </m:sSup>
                      <m:r>
                        <w:rPr>
                          <w:rFonts w:ascii="Cambria Math" w:eastAsia="+mn-ea" w:hAnsi="Cambria Math" w:cs="+mn-cs"/>
                          <w:color w:val="000000"/>
                          <w:kern w:val="24"/>
                          <w:szCs w:val="22"/>
                          <w:lang w:eastAsia="zh-CN"/>
                        </w:rPr>
                        <m:t>-1-q</m:t>
                      </m:r>
                    </m:e>
                  </m:d>
                  <m:r>
                    <w:rPr>
                      <w:rFonts w:ascii="Cambria Math" w:eastAsia="+mn-ea" w:hAnsi="Cambria Math" w:cs="+mn-cs"/>
                      <w:color w:val="000000"/>
                      <w:kern w:val="24"/>
                      <w:szCs w:val="22"/>
                      <w:lang w:eastAsia="zh-CN"/>
                    </w:rPr>
                    <m:t>.0.5</m:t>
                  </m:r>
                </m:sup>
              </m:sSup>
            </m:oMath>
          </w:p>
          <w:p w14:paraId="1D41279F" w14:textId="77777777" w:rsidR="007F0E6C" w:rsidRPr="00A1265A" w:rsidRDefault="007F0E6C" w:rsidP="005D0B6C">
            <w:pPr>
              <w:numPr>
                <w:ilvl w:val="1"/>
                <w:numId w:val="47"/>
              </w:numPr>
              <w:spacing w:after="0"/>
              <w:ind w:left="1861"/>
              <w:contextualSpacing/>
              <w:rPr>
                <w:rFonts w:eastAsia="Times New Roman"/>
                <w:szCs w:val="28"/>
                <w:lang w:eastAsia="zh-CN"/>
              </w:rPr>
            </w:pPr>
            <m:oMath>
              <m:r>
                <w:rPr>
                  <w:rFonts w:ascii="Cambria Math" w:eastAsia="+mn-ea" w:hAnsi="Cambria Math" w:cs="+mn-cs"/>
                  <w:color w:val="000000"/>
                  <w:kern w:val="24"/>
                  <w:szCs w:val="22"/>
                  <w:lang w:eastAsia="zh-CN"/>
                </w:rPr>
                <m:t>m= </m:t>
              </m:r>
            </m:oMath>
            <w:r w:rsidRPr="00A1265A">
              <w:rPr>
                <w:rFonts w:ascii="Calibri" w:eastAsia="+mn-ea" w:hAnsi="Calibri" w:cs="+mn-cs"/>
                <w:color w:val="000000"/>
                <w:kern w:val="24"/>
                <w:szCs w:val="22"/>
                <w:lang w:eastAsia="zh-CN"/>
              </w:rPr>
              <w:t xml:space="preserve"> a slope value from </w:t>
            </w:r>
            <m:oMath>
              <m:r>
                <w:rPr>
                  <w:rFonts w:ascii="Cambria Math" w:eastAsia="+mn-ea" w:hAnsi="Cambria Math" w:cs="+mn-cs"/>
                  <w:color w:val="000000"/>
                  <w:kern w:val="24"/>
                  <w:szCs w:val="22"/>
                  <w:lang w:eastAsia="zh-CN"/>
                </w:rPr>
                <m:t>[-x,x]</m:t>
              </m:r>
            </m:oMath>
            <w:r w:rsidRPr="00A1265A">
              <w:rPr>
                <w:rFonts w:ascii="Calibri" w:eastAsia="+mn-ea" w:hAnsi="Calibri" w:cs="+mn-cs"/>
                <w:color w:val="000000"/>
                <w:kern w:val="24"/>
                <w:szCs w:val="22"/>
                <w:lang w:eastAsia="zh-CN"/>
              </w:rPr>
              <w:t xml:space="preserve"> depending on the amplitude (</w:t>
            </w:r>
            <m:oMath>
              <m:sSub>
                <m:sSubPr>
                  <m:ctrlPr>
                    <w:rPr>
                      <w:rFonts w:ascii="Cambria Math" w:eastAsia="+mn-ea" w:hAnsi="Cambria Math" w:cs="+mn-cs"/>
                      <w:i/>
                      <w:iCs/>
                      <w:color w:val="000000"/>
                      <w:kern w:val="24"/>
                      <w:szCs w:val="22"/>
                      <w:lang w:eastAsia="zh-CN"/>
                    </w:rPr>
                  </m:ctrlPr>
                </m:sSubPr>
                <m:e>
                  <m:r>
                    <w:rPr>
                      <w:rFonts w:ascii="Cambria Math" w:eastAsia="+mn-ea" w:hAnsi="Cambria Math" w:cs="+mn-cs"/>
                      <w:color w:val="000000"/>
                      <w:kern w:val="24"/>
                      <w:szCs w:val="22"/>
                      <w:lang w:eastAsia="zh-CN"/>
                    </w:rPr>
                    <m:t>a</m:t>
                  </m:r>
                </m:e>
                <m:sub>
                  <m:r>
                    <w:rPr>
                      <w:rFonts w:ascii="Cambria Math" w:eastAsia="+mn-ea" w:hAnsi="Cambria Math" w:cs="+mn-cs"/>
                      <w:color w:val="000000"/>
                      <w:kern w:val="24"/>
                      <w:szCs w:val="22"/>
                      <w:lang w:eastAsia="zh-CN"/>
                    </w:rPr>
                    <m:t>1</m:t>
                  </m:r>
                </m:sub>
              </m:sSub>
            </m:oMath>
            <w:r w:rsidRPr="00A1265A">
              <w:rPr>
                <w:rFonts w:ascii="Calibri" w:eastAsia="+mn-ea" w:hAnsi="Calibri" w:cs="+mn-cs"/>
                <w:color w:val="000000"/>
                <w:kern w:val="24"/>
                <w:szCs w:val="22"/>
                <w:lang w:eastAsia="zh-CN"/>
              </w:rPr>
              <w:t xml:space="preserve">) </w:t>
            </w:r>
            <w:r w:rsidRPr="00A1265A">
              <w:rPr>
                <w:rFonts w:ascii="Calibri" w:eastAsia="+mn-ea" w:hAnsi="Calibri" w:cs="+mn-cs"/>
                <w:color w:val="000000"/>
                <w:kern w:val="24"/>
                <w:szCs w:val="22"/>
                <w:lang w:val="en-GB" w:eastAsia="zh-CN"/>
              </w:rPr>
              <w:t xml:space="preserve">of the 1st correlation (smallest delay), e.g. the slope decreases towards 0 as </w:t>
            </w:r>
            <m:oMath>
              <m:sSub>
                <m:sSubPr>
                  <m:ctrlPr>
                    <w:rPr>
                      <w:rFonts w:ascii="Cambria Math" w:eastAsia="+mn-ea" w:hAnsi="Cambria Math" w:cs="+mn-cs"/>
                      <w:i/>
                      <w:iCs/>
                      <w:color w:val="000000"/>
                      <w:kern w:val="24"/>
                      <w:szCs w:val="22"/>
                      <w:lang w:eastAsia="zh-CN"/>
                    </w:rPr>
                  </m:ctrlPr>
                </m:sSubPr>
                <m:e>
                  <m:r>
                    <w:rPr>
                      <w:rFonts w:ascii="Cambria Math" w:eastAsia="+mn-ea" w:hAnsi="Cambria Math" w:cs="+mn-cs"/>
                      <w:color w:val="000000"/>
                      <w:kern w:val="24"/>
                      <w:szCs w:val="22"/>
                      <w:lang w:eastAsia="zh-CN"/>
                    </w:rPr>
                    <m:t>a</m:t>
                  </m:r>
                </m:e>
                <m:sub>
                  <m:r>
                    <w:rPr>
                      <w:rFonts w:ascii="Cambria Math" w:eastAsia="+mn-ea" w:hAnsi="Cambria Math" w:cs="+mn-cs"/>
                      <w:color w:val="000000"/>
                      <w:kern w:val="24"/>
                      <w:szCs w:val="22"/>
                      <w:lang w:eastAsia="zh-CN"/>
                    </w:rPr>
                    <m:t>1</m:t>
                  </m:r>
                </m:sub>
              </m:sSub>
            </m:oMath>
            <w:r w:rsidRPr="00A1265A">
              <w:rPr>
                <w:rFonts w:ascii="Calibri" w:eastAsia="+mn-ea" w:hAnsi="Calibri" w:cs="+mn-cs"/>
                <w:color w:val="000000"/>
                <w:kern w:val="24"/>
                <w:szCs w:val="22"/>
                <w:lang w:eastAsia="zh-CN"/>
              </w:rPr>
              <w:t xml:space="preserve"> increases towards 1</w:t>
            </w:r>
          </w:p>
          <w:p w14:paraId="6799B0A9" w14:textId="77777777" w:rsidR="007F0E6C" w:rsidRPr="00A1265A" w:rsidRDefault="007F0E6C" w:rsidP="005D0B6C">
            <w:pPr>
              <w:numPr>
                <w:ilvl w:val="1"/>
                <w:numId w:val="47"/>
              </w:numPr>
              <w:spacing w:after="0"/>
              <w:ind w:left="1861"/>
              <w:contextualSpacing/>
              <w:rPr>
                <w:rFonts w:eastAsia="Times New Roman"/>
                <w:szCs w:val="28"/>
                <w:lang w:eastAsia="zh-CN"/>
              </w:rPr>
            </w:pPr>
            <m:oMath>
              <m:r>
                <w:rPr>
                  <w:rFonts w:ascii="Cambria Math" w:eastAsia="+mn-ea" w:hAnsi="Cambria Math" w:cs="+mn-cs"/>
                  <w:color w:val="000000"/>
                  <w:kern w:val="24"/>
                  <w:szCs w:val="22"/>
                  <w:lang w:eastAsia="zh-CN"/>
                </w:rPr>
                <m:t>c∈</m:t>
              </m:r>
              <m:d>
                <m:dPr>
                  <m:begChr m:val="{"/>
                  <m:endChr m:val="}"/>
                  <m:ctrlPr>
                    <w:rPr>
                      <w:rFonts w:ascii="Cambria Math" w:eastAsia="+mn-ea" w:hAnsi="Cambria Math" w:cs="+mn-cs"/>
                      <w:i/>
                      <w:iCs/>
                      <w:color w:val="000000"/>
                      <w:kern w:val="24"/>
                      <w:szCs w:val="22"/>
                      <w:lang w:eastAsia="zh-CN"/>
                    </w:rPr>
                  </m:ctrlPr>
                </m:dPr>
                <m:e>
                  <m:r>
                    <w:rPr>
                      <w:rFonts w:ascii="Cambria Math" w:eastAsia="+mn-ea" w:hAnsi="Cambria Math" w:cs="+mn-cs"/>
                      <w:color w:val="000000"/>
                      <w:kern w:val="24"/>
                      <w:szCs w:val="22"/>
                      <w:lang w:eastAsia="zh-CN"/>
                    </w:rPr>
                    <m:t>0,2π</m:t>
                  </m:r>
                </m:e>
              </m:d>
            </m:oMath>
          </w:p>
          <w:p w14:paraId="0E1B428D" w14:textId="77777777" w:rsidR="007F0E6C" w:rsidRPr="00A1265A" w:rsidRDefault="007F0E6C" w:rsidP="007F0E6C">
            <w:pPr>
              <w:numPr>
                <w:ilvl w:val="0"/>
                <w:numId w:val="48"/>
              </w:numPr>
              <w:spacing w:after="0"/>
              <w:ind w:left="994"/>
              <w:contextualSpacing/>
              <w:rPr>
                <w:rFonts w:eastAsia="Times New Roman"/>
                <w:szCs w:val="28"/>
                <w:lang w:eastAsia="zh-CN"/>
              </w:rPr>
            </w:pPr>
            <w:r w:rsidRPr="00A1265A">
              <w:rPr>
                <w:rFonts w:ascii="Times" w:eastAsia="Malgun Gothic" w:hAnsi="Times"/>
                <w:color w:val="000000"/>
                <w:kern w:val="24"/>
                <w:szCs w:val="22"/>
                <w:lang w:val="en-GB" w:eastAsia="zh-CN"/>
              </w:rPr>
              <w:t xml:space="preserve">Alt5. A given correlation phase value </w:t>
            </w:r>
            <m:oMath>
              <m:r>
                <w:rPr>
                  <w:rFonts w:ascii="Cambria Math" w:eastAsia="Malgun Gothic" w:hAnsi="Cambria Math"/>
                  <w:color w:val="000000"/>
                  <w:kern w:val="24"/>
                  <w:szCs w:val="22"/>
                  <w:lang w:eastAsia="zh-CN"/>
                </w:rPr>
                <m:t>θ(D)</m:t>
              </m:r>
            </m:oMath>
            <w:r w:rsidRPr="00A1265A">
              <w:rPr>
                <w:rFonts w:ascii="Times" w:eastAsia="Malgun Gothic" w:hAnsi="Times"/>
                <w:color w:val="000000"/>
                <w:kern w:val="24"/>
                <w:szCs w:val="22"/>
                <w:lang w:eastAsia="zh-CN"/>
              </w:rPr>
              <w:t xml:space="preserve"> is quantized to </w:t>
            </w:r>
            <m:oMath>
              <m:acc>
                <m:accPr>
                  <m:ctrlPr>
                    <w:rPr>
                      <w:rFonts w:ascii="Cambria Math" w:eastAsia="Malgun Gothic" w:hAnsi="Cambria Math"/>
                      <w:color w:val="000000"/>
                      <w:kern w:val="24"/>
                      <w:szCs w:val="22"/>
                      <w:lang w:eastAsia="zh-CN"/>
                    </w:rPr>
                  </m:ctrlPr>
                </m:accPr>
                <m:e>
                  <m:r>
                    <w:rPr>
                      <w:rFonts w:ascii="Cambria Math" w:eastAsia="Malgun Gothic" w:hAnsi="Cambria Math"/>
                      <w:color w:val="000000"/>
                      <w:kern w:val="24"/>
                      <w:szCs w:val="22"/>
                      <w:lang w:eastAsia="zh-CN"/>
                    </w:rPr>
                    <m:t>θ</m:t>
                  </m:r>
                </m:e>
              </m:acc>
              <m:r>
                <m:rPr>
                  <m:sty m:val="p"/>
                </m:rPr>
                <w:rPr>
                  <w:rFonts w:ascii="Cambria Math" w:eastAsia="Malgun Gothic" w:hAnsi="Cambria Math"/>
                  <w:color w:val="000000"/>
                  <w:kern w:val="24"/>
                  <w:szCs w:val="22"/>
                  <w:lang w:eastAsia="zh-CN"/>
                </w:rPr>
                <m:t>(D)</m:t>
              </m:r>
            </m:oMath>
            <w:r w:rsidRPr="00A1265A">
              <w:rPr>
                <w:rFonts w:ascii="Times" w:eastAsia="Malgun Gothic" w:hAnsi="Times"/>
                <w:color w:val="000000"/>
                <w:kern w:val="24"/>
                <w:szCs w:val="22"/>
                <w:lang w:eastAsia="zh-CN"/>
              </w:rPr>
              <w:t xml:space="preserve"> based on the following alphabet (where </w:t>
            </w:r>
            <m:oMath>
              <m:r>
                <w:rPr>
                  <w:rFonts w:ascii="Cambria Math" w:eastAsia="Malgun Gothic" w:hAnsi="Cambria Math"/>
                  <w:color w:val="000000"/>
                  <w:kern w:val="24"/>
                  <w:szCs w:val="22"/>
                  <w:lang w:eastAsia="zh-CN"/>
                </w:rPr>
                <m:t>D</m:t>
              </m:r>
            </m:oMath>
            <w:r w:rsidRPr="00A1265A">
              <w:rPr>
                <w:rFonts w:ascii="Times" w:eastAsia="Malgun Gothic" w:hAnsi="Times"/>
                <w:color w:val="000000"/>
                <w:kern w:val="24"/>
                <w:szCs w:val="22"/>
                <w:lang w:eastAsia="zh-CN"/>
              </w:rPr>
              <w:t xml:space="preserve"> denoted delay): </w:t>
            </w:r>
            <m:oMath>
              <m:acc>
                <m:accPr>
                  <m:ctrlPr>
                    <w:rPr>
                      <w:rFonts w:ascii="Cambria Math" w:eastAsia="Malgun Gothic" w:hAnsi="Cambria Math"/>
                      <w:color w:val="000000"/>
                      <w:kern w:val="24"/>
                      <w:szCs w:val="22"/>
                      <w:lang w:eastAsia="zh-CN"/>
                    </w:rPr>
                  </m:ctrlPr>
                </m:accPr>
                <m:e>
                  <m:r>
                    <w:rPr>
                      <w:rFonts w:ascii="Cambria Math" w:eastAsia="Malgun Gothic" w:hAnsi="Cambria Math"/>
                      <w:color w:val="000000"/>
                      <w:kern w:val="24"/>
                      <w:szCs w:val="22"/>
                      <w:lang w:eastAsia="zh-CN"/>
                    </w:rPr>
                    <m:t>θ</m:t>
                  </m:r>
                </m:e>
              </m:acc>
              <m:d>
                <m:dPr>
                  <m:ctrlPr>
                    <w:rPr>
                      <w:rFonts w:ascii="Cambria Math" w:eastAsia="Malgun Gothic" w:hAnsi="Cambria Math"/>
                      <w:color w:val="000000"/>
                      <w:kern w:val="24"/>
                      <w:szCs w:val="22"/>
                      <w:lang w:eastAsia="zh-CN"/>
                    </w:rPr>
                  </m:ctrlPr>
                </m:dPr>
                <m:e>
                  <m:r>
                    <w:rPr>
                      <w:rFonts w:ascii="Cambria Math" w:eastAsia="Malgun Gothic" w:hAnsi="Cambria Math"/>
                      <w:color w:val="000000"/>
                      <w:kern w:val="24"/>
                      <w:szCs w:val="22"/>
                      <w:lang w:eastAsia="zh-CN"/>
                    </w:rPr>
                    <m:t>D</m:t>
                  </m:r>
                </m:e>
              </m:d>
              <m:r>
                <m:rPr>
                  <m:sty m:val="p"/>
                </m:rPr>
                <w:rPr>
                  <w:rFonts w:ascii="Cambria Math" w:eastAsia="Malgun Gothic" w:hAnsi="Cambria Math"/>
                  <w:color w:val="000000"/>
                  <w:kern w:val="24"/>
                  <w:szCs w:val="22"/>
                  <w:lang w:eastAsia="zh-CN"/>
                </w:rPr>
                <m:t>∈</m:t>
              </m:r>
              <m:d>
                <m:dPr>
                  <m:begChr m:val="{"/>
                  <m:endChr m:val="}"/>
                  <m:ctrlPr>
                    <w:rPr>
                      <w:rFonts w:ascii="Cambria Math" w:eastAsia="Malgun Gothic" w:hAnsi="Cambria Math"/>
                      <w:color w:val="000000"/>
                      <w:kern w:val="24"/>
                      <w:szCs w:val="22"/>
                      <w:lang w:eastAsia="zh-CN"/>
                    </w:rPr>
                  </m:ctrlPr>
                </m:dPr>
                <m:e>
                  <m:sSup>
                    <m:sSupPr>
                      <m:ctrlPr>
                        <w:rPr>
                          <w:rFonts w:ascii="Cambria Math" w:eastAsia="Malgun Gothic" w:hAnsi="Cambria Math"/>
                          <w:color w:val="000000"/>
                          <w:kern w:val="24"/>
                          <w:szCs w:val="22"/>
                          <w:lang w:eastAsia="zh-CN"/>
                        </w:rPr>
                      </m:ctrlPr>
                    </m:sSupPr>
                    <m:e>
                      <m:r>
                        <m:rPr>
                          <m:sty m:val="p"/>
                        </m:rPr>
                        <w:rPr>
                          <w:rFonts w:ascii="Cambria Math" w:eastAsia="Malgun Gothic" w:hAnsi="Cambria Math"/>
                          <w:color w:val="000000"/>
                          <w:kern w:val="24"/>
                          <w:szCs w:val="22"/>
                          <w:lang w:eastAsia="zh-CN"/>
                        </w:rPr>
                        <m:t>2</m:t>
                      </m:r>
                    </m:e>
                    <m:sup>
                      <m:r>
                        <m:rPr>
                          <m:sty m:val="p"/>
                        </m:rPr>
                        <w:rPr>
                          <w:rFonts w:ascii="Cambria Math" w:eastAsia="Malgun Gothic" w:hAnsi="Cambria Math"/>
                          <w:color w:val="000000"/>
                          <w:kern w:val="24"/>
                          <w:szCs w:val="22"/>
                          <w:lang w:eastAsia="zh-CN"/>
                        </w:rPr>
                        <m:t>-</m:t>
                      </m:r>
                      <m:d>
                        <m:dPr>
                          <m:ctrlPr>
                            <w:rPr>
                              <w:rFonts w:ascii="Cambria Math" w:eastAsia="Malgun Gothic" w:hAnsi="Cambria Math"/>
                              <w:color w:val="000000"/>
                              <w:kern w:val="24"/>
                              <w:szCs w:val="22"/>
                              <w:lang w:eastAsia="zh-CN"/>
                            </w:rPr>
                          </m:ctrlPr>
                        </m:dPr>
                        <m:e>
                          <m:r>
                            <m:rPr>
                              <m:sty m:val="p"/>
                            </m:rPr>
                            <w:rPr>
                              <w:rFonts w:ascii="Cambria Math" w:eastAsia="Malgun Gothic" w:hAnsi="Cambria Math"/>
                              <w:color w:val="000000"/>
                              <w:kern w:val="24"/>
                              <w:szCs w:val="22"/>
                              <w:lang w:eastAsia="zh-CN"/>
                            </w:rPr>
                            <m:t>N-q</m:t>
                          </m:r>
                        </m:e>
                      </m:d>
                      <m:r>
                        <m:rPr>
                          <m:sty m:val="p"/>
                        </m:rPr>
                        <w:rPr>
                          <w:rFonts w:ascii="Cambria Math" w:eastAsia="Malgun Gothic" w:hAnsi="Cambria Math"/>
                          <w:color w:val="000000"/>
                          <w:kern w:val="24"/>
                          <w:szCs w:val="22"/>
                          <w:lang w:eastAsia="zh-CN"/>
                        </w:rPr>
                        <m:t>.s</m:t>
                      </m:r>
                    </m:sup>
                  </m:sSup>
                  <m:r>
                    <m:rPr>
                      <m:sty m:val="p"/>
                    </m:rPr>
                    <w:rPr>
                      <w:rFonts w:ascii="Cambria Math" w:eastAsia="Malgun Gothic" w:hAnsi="Cambria Math"/>
                      <w:color w:val="000000"/>
                      <w:kern w:val="24"/>
                      <w:szCs w:val="22"/>
                      <w:lang w:eastAsia="zh-CN"/>
                    </w:rPr>
                    <m:t> . </m:t>
                  </m:r>
                  <m:r>
                    <w:rPr>
                      <w:rFonts w:ascii="Cambria Math" w:eastAsia="Malgun Gothic" w:hAnsi="Cambria Math"/>
                      <w:color w:val="000000"/>
                      <w:kern w:val="24"/>
                      <w:szCs w:val="22"/>
                      <w:lang w:eastAsia="zh-CN"/>
                    </w:rPr>
                    <m:t>π</m:t>
                  </m:r>
                  <m:r>
                    <m:rPr>
                      <m:sty m:val="p"/>
                    </m:rPr>
                    <w:rPr>
                      <w:rFonts w:ascii="Cambria Math" w:eastAsia="Malgun Gothic" w:hAnsi="Cambria Math"/>
                      <w:color w:val="000000"/>
                      <w:kern w:val="24"/>
                      <w:szCs w:val="22"/>
                      <w:lang w:eastAsia="zh-CN"/>
                    </w:rPr>
                    <m:t>, q=0,1,2,</m:t>
                  </m:r>
                  <m:r>
                    <w:rPr>
                      <w:rFonts w:ascii="Cambria Math" w:eastAsia="Malgun Gothic" w:hAnsi="Cambria Math"/>
                      <w:color w:val="000000"/>
                      <w:kern w:val="24"/>
                      <w:szCs w:val="22"/>
                      <w:lang w:eastAsia="zh-CN"/>
                    </w:rPr>
                    <m:t>…,</m:t>
                  </m:r>
                  <m:sSup>
                    <m:sSupPr>
                      <m:ctrlPr>
                        <w:rPr>
                          <w:rFonts w:ascii="Cambria Math" w:eastAsia="Malgun Gothic" w:hAnsi="Cambria Math"/>
                          <w:i/>
                          <w:iCs/>
                          <w:color w:val="000000"/>
                          <w:kern w:val="24"/>
                          <w:szCs w:val="22"/>
                          <w:lang w:eastAsia="zh-CN"/>
                        </w:rPr>
                      </m:ctrlPr>
                    </m:sSupPr>
                    <m:e>
                      <m:r>
                        <w:rPr>
                          <w:rFonts w:ascii="Cambria Math" w:eastAsia="Malgun Gothic" w:hAnsi="Cambria Math"/>
                          <w:color w:val="000000"/>
                          <w:kern w:val="24"/>
                          <w:szCs w:val="22"/>
                          <w:lang w:eastAsia="zh-CN"/>
                        </w:rPr>
                        <m:t>2</m:t>
                      </m:r>
                    </m:e>
                    <m:sup>
                      <m:r>
                        <w:rPr>
                          <w:rFonts w:ascii="Cambria Math" w:eastAsia="Malgun Gothic" w:hAnsi="Cambria Math"/>
                          <w:color w:val="000000"/>
                          <w:kern w:val="24"/>
                          <w:szCs w:val="22"/>
                          <w:lang w:eastAsia="zh-CN"/>
                        </w:rPr>
                        <m:t>Q</m:t>
                      </m:r>
                    </m:sup>
                  </m:sSup>
                  <m:r>
                    <w:rPr>
                      <w:rFonts w:ascii="Cambria Math" w:eastAsia="Malgun Gothic" w:hAnsi="Cambria Math"/>
                      <w:color w:val="000000"/>
                      <w:kern w:val="24"/>
                      <w:szCs w:val="22"/>
                      <w:lang w:eastAsia="zh-CN"/>
                    </w:rPr>
                    <m:t>-1 </m:t>
                  </m:r>
                </m:e>
              </m:d>
              <m:r>
                <w:rPr>
                  <w:rFonts w:ascii="Cambria Math" w:eastAsia="Malgun Gothic" w:hAnsi="Cambria Math"/>
                  <w:color w:val="000000"/>
                  <w:kern w:val="24"/>
                  <w:szCs w:val="22"/>
                  <w:lang w:eastAsia="zh-CN"/>
                </w:rPr>
                <m:t>∪</m:t>
              </m:r>
              <m:sSup>
                <m:sSupPr>
                  <m:ctrlPr>
                    <w:rPr>
                      <w:rFonts w:ascii="Cambria Math" w:eastAsia="Malgun Gothic" w:hAnsi="Cambria Math"/>
                      <w:i/>
                      <w:iCs/>
                      <w:color w:val="000000"/>
                      <w:kern w:val="24"/>
                      <w:szCs w:val="22"/>
                      <w:lang w:eastAsia="zh-CN"/>
                    </w:rPr>
                  </m:ctrlPr>
                </m:sSupPr>
                <m:e>
                  <m:r>
                    <w:rPr>
                      <w:rFonts w:ascii="Cambria Math" w:eastAsia="Malgun Gothic" w:hAnsi="Cambria Math"/>
                      <w:color w:val="000000"/>
                      <w:kern w:val="24"/>
                      <w:szCs w:val="22"/>
                      <w:lang w:eastAsia="zh-CN"/>
                    </w:rPr>
                    <m:t>{-</m:t>
                  </m:r>
                  <m:r>
                    <m:rPr>
                      <m:sty m:val="p"/>
                    </m:rPr>
                    <w:rPr>
                      <w:rFonts w:ascii="Cambria Math" w:eastAsia="Malgun Gothic" w:hAnsi="Cambria Math"/>
                      <w:color w:val="000000"/>
                      <w:kern w:val="24"/>
                      <w:szCs w:val="22"/>
                      <w:lang w:eastAsia="zh-CN"/>
                    </w:rPr>
                    <m:t>2</m:t>
                  </m:r>
                </m:e>
                <m:sup>
                  <m:r>
                    <m:rPr>
                      <m:sty m:val="p"/>
                    </m:rPr>
                    <w:rPr>
                      <w:rFonts w:ascii="Cambria Math" w:eastAsia="Malgun Gothic" w:hAnsi="Cambria Math"/>
                      <w:color w:val="000000"/>
                      <w:kern w:val="24"/>
                      <w:szCs w:val="22"/>
                      <w:lang w:eastAsia="zh-CN"/>
                    </w:rPr>
                    <m:t>-</m:t>
                  </m:r>
                  <m:d>
                    <m:dPr>
                      <m:ctrlPr>
                        <w:rPr>
                          <w:rFonts w:ascii="Cambria Math" w:eastAsia="Malgun Gothic" w:hAnsi="Cambria Math"/>
                          <w:i/>
                          <w:iCs/>
                          <w:color w:val="000000"/>
                          <w:kern w:val="24"/>
                          <w:szCs w:val="22"/>
                          <w:lang w:eastAsia="zh-CN"/>
                        </w:rPr>
                      </m:ctrlPr>
                    </m:dPr>
                    <m:e>
                      <m:r>
                        <m:rPr>
                          <m:sty m:val="p"/>
                        </m:rPr>
                        <w:rPr>
                          <w:rFonts w:ascii="Cambria Math" w:eastAsia="Malgun Gothic" w:hAnsi="Cambria Math"/>
                          <w:color w:val="000000"/>
                          <w:kern w:val="24"/>
                          <w:szCs w:val="22"/>
                          <w:lang w:eastAsia="zh-CN"/>
                        </w:rPr>
                        <m:t>N-q</m:t>
                      </m:r>
                    </m:e>
                  </m:d>
                  <m:r>
                    <m:rPr>
                      <m:sty m:val="p"/>
                    </m:rPr>
                    <w:rPr>
                      <w:rFonts w:ascii="Cambria Math" w:eastAsia="Malgun Gothic" w:hAnsi="Cambria Math"/>
                      <w:color w:val="000000"/>
                      <w:kern w:val="24"/>
                      <w:szCs w:val="22"/>
                      <w:lang w:eastAsia="zh-CN"/>
                    </w:rPr>
                    <m:t>.s</m:t>
                  </m:r>
                </m:sup>
              </m:sSup>
              <m:r>
                <m:rPr>
                  <m:sty m:val="p"/>
                </m:rPr>
                <w:rPr>
                  <w:rFonts w:ascii="Cambria Math" w:eastAsia="Malgun Gothic" w:hAnsi="Cambria Math"/>
                  <w:color w:val="000000"/>
                  <w:kern w:val="24"/>
                  <w:szCs w:val="22"/>
                  <w:lang w:eastAsia="zh-CN"/>
                </w:rPr>
                <m:t> . </m:t>
              </m:r>
              <m:r>
                <w:rPr>
                  <w:rFonts w:ascii="Cambria Math" w:eastAsia="Malgun Gothic" w:hAnsi="Cambria Math"/>
                  <w:color w:val="000000"/>
                  <w:kern w:val="24"/>
                  <w:szCs w:val="22"/>
                  <w:lang w:eastAsia="zh-CN"/>
                </w:rPr>
                <m:t>π</m:t>
              </m:r>
              <m:r>
                <m:rPr>
                  <m:sty m:val="p"/>
                </m:rPr>
                <w:rPr>
                  <w:rFonts w:ascii="Cambria Math" w:eastAsia="Malgun Gothic" w:hAnsi="Cambria Math"/>
                  <w:color w:val="000000"/>
                  <w:kern w:val="24"/>
                  <w:szCs w:val="22"/>
                  <w:lang w:eastAsia="zh-CN"/>
                </w:rPr>
                <m:t>q=0,1,2,</m:t>
              </m:r>
              <m:r>
                <w:rPr>
                  <w:rFonts w:ascii="Cambria Math" w:eastAsia="Malgun Gothic" w:hAnsi="Cambria Math"/>
                  <w:color w:val="000000"/>
                  <w:kern w:val="24"/>
                  <w:szCs w:val="22"/>
                  <w:lang w:eastAsia="zh-CN"/>
                </w:rPr>
                <m:t>…,</m:t>
              </m:r>
              <m:sSup>
                <m:sSupPr>
                  <m:ctrlPr>
                    <w:rPr>
                      <w:rFonts w:ascii="Cambria Math" w:eastAsia="Malgun Gothic" w:hAnsi="Cambria Math"/>
                      <w:i/>
                      <w:iCs/>
                      <w:color w:val="000000"/>
                      <w:kern w:val="24"/>
                      <w:szCs w:val="22"/>
                      <w:lang w:eastAsia="zh-CN"/>
                    </w:rPr>
                  </m:ctrlPr>
                </m:sSupPr>
                <m:e>
                  <m:r>
                    <w:rPr>
                      <w:rFonts w:ascii="Cambria Math" w:eastAsia="Malgun Gothic" w:hAnsi="Cambria Math"/>
                      <w:color w:val="000000"/>
                      <w:kern w:val="24"/>
                      <w:szCs w:val="22"/>
                      <w:lang w:eastAsia="zh-CN"/>
                    </w:rPr>
                    <m:t>2</m:t>
                  </m:r>
                </m:e>
                <m:sup>
                  <m:r>
                    <w:rPr>
                      <w:rFonts w:ascii="Cambria Math" w:eastAsia="Malgun Gothic" w:hAnsi="Cambria Math"/>
                      <w:color w:val="000000"/>
                      <w:kern w:val="24"/>
                      <w:szCs w:val="22"/>
                      <w:lang w:eastAsia="zh-CN"/>
                    </w:rPr>
                    <m:t>Q</m:t>
                  </m:r>
                </m:sup>
              </m:sSup>
              <m:r>
                <w:rPr>
                  <w:rFonts w:ascii="Cambria Math" w:eastAsia="Malgun Gothic" w:hAnsi="Cambria Math"/>
                  <w:color w:val="000000"/>
                  <w:kern w:val="24"/>
                  <w:szCs w:val="22"/>
                  <w:lang w:eastAsia="zh-CN"/>
                </w:rPr>
                <m:t>-1}</m:t>
              </m:r>
            </m:oMath>
          </w:p>
          <w:p w14:paraId="46D4D810" w14:textId="77777777" w:rsidR="007F0E6C" w:rsidRPr="00A1265A" w:rsidRDefault="007F0E6C" w:rsidP="007F0E6C">
            <w:pPr>
              <w:numPr>
                <w:ilvl w:val="0"/>
                <w:numId w:val="48"/>
              </w:numPr>
              <w:spacing w:after="0"/>
              <w:ind w:left="994"/>
              <w:contextualSpacing/>
              <w:rPr>
                <w:rFonts w:eastAsia="Times New Roman"/>
                <w:szCs w:val="28"/>
                <w:lang w:eastAsia="zh-CN"/>
              </w:rPr>
            </w:pPr>
            <w:r w:rsidRPr="00A1265A">
              <w:rPr>
                <w:rFonts w:ascii="Times" w:eastAsia="Malgun Gothic" w:hAnsi="Times"/>
                <w:color w:val="000000"/>
                <w:kern w:val="24"/>
                <w:szCs w:val="22"/>
                <w:lang w:eastAsia="zh-CN"/>
              </w:rPr>
              <w:t xml:space="preserve">Alt6. A given correlation phase value </w:t>
            </w:r>
            <m:oMath>
              <m:r>
                <w:rPr>
                  <w:rFonts w:ascii="Cambria Math" w:eastAsia="Malgun Gothic" w:hAnsi="Cambria Math"/>
                  <w:color w:val="000000"/>
                  <w:kern w:val="24"/>
                  <w:szCs w:val="22"/>
                  <w:lang w:eastAsia="zh-CN"/>
                </w:rPr>
                <m:t>θ(D)</m:t>
              </m:r>
            </m:oMath>
            <w:r w:rsidRPr="00A1265A">
              <w:rPr>
                <w:rFonts w:ascii="Times" w:eastAsia="Malgun Gothic" w:hAnsi="Times"/>
                <w:color w:val="000000"/>
                <w:kern w:val="24"/>
                <w:szCs w:val="22"/>
                <w:lang w:eastAsia="zh-CN"/>
              </w:rPr>
              <w:t xml:space="preserve"> is quantized to </w:t>
            </w:r>
            <m:oMath>
              <m:acc>
                <m:accPr>
                  <m:ctrlPr>
                    <w:rPr>
                      <w:rFonts w:ascii="Cambria Math" w:eastAsia="Malgun Gothic" w:hAnsi="Cambria Math"/>
                      <w:i/>
                      <w:iCs/>
                      <w:color w:val="000000"/>
                      <w:kern w:val="24"/>
                      <w:szCs w:val="22"/>
                      <w:lang w:eastAsia="zh-CN"/>
                    </w:rPr>
                  </m:ctrlPr>
                </m:accPr>
                <m:e>
                  <m:r>
                    <w:rPr>
                      <w:rFonts w:ascii="Cambria Math" w:eastAsia="Malgun Gothic" w:hAnsi="Cambria Math"/>
                      <w:color w:val="000000"/>
                      <w:kern w:val="24"/>
                      <w:szCs w:val="22"/>
                      <w:lang w:eastAsia="zh-CN"/>
                    </w:rPr>
                    <m:t>θ</m:t>
                  </m:r>
                </m:e>
              </m:acc>
              <m:d>
                <m:dPr>
                  <m:ctrlPr>
                    <w:rPr>
                      <w:rFonts w:ascii="Cambria Math" w:eastAsia="Malgun Gothic" w:hAnsi="Cambria Math"/>
                      <w:i/>
                      <w:iCs/>
                      <w:color w:val="000000"/>
                      <w:kern w:val="24"/>
                      <w:szCs w:val="22"/>
                      <w:lang w:eastAsia="zh-CN"/>
                    </w:rPr>
                  </m:ctrlPr>
                </m:dPr>
                <m:e>
                  <m:r>
                    <w:rPr>
                      <w:rFonts w:ascii="Cambria Math" w:eastAsia="Malgun Gothic" w:hAnsi="Cambria Math"/>
                      <w:color w:val="000000"/>
                      <w:kern w:val="24"/>
                      <w:szCs w:val="22"/>
                      <w:lang w:eastAsia="zh-CN"/>
                    </w:rPr>
                    <m:t>D</m:t>
                  </m:r>
                </m:e>
              </m:d>
            </m:oMath>
            <w:r w:rsidRPr="00A1265A">
              <w:rPr>
                <w:rFonts w:ascii="Times" w:eastAsia="Malgun Gothic" w:hAnsi="Times"/>
                <w:color w:val="000000"/>
                <w:kern w:val="24"/>
                <w:szCs w:val="22"/>
                <w:lang w:eastAsia="zh-CN"/>
              </w:rPr>
              <w:t xml:space="preserve"> based on the following alphabet (where </w:t>
            </w:r>
            <m:oMath>
              <m:r>
                <w:rPr>
                  <w:rFonts w:ascii="Cambria Math" w:eastAsia="Malgun Gothic" w:hAnsi="Cambria Math"/>
                  <w:color w:val="000000"/>
                  <w:kern w:val="24"/>
                  <w:szCs w:val="22"/>
                  <w:lang w:eastAsia="zh-CN"/>
                </w:rPr>
                <m:t>D</m:t>
              </m:r>
            </m:oMath>
            <w:r w:rsidRPr="00A1265A">
              <w:rPr>
                <w:rFonts w:ascii="Times" w:eastAsia="Malgun Gothic" w:hAnsi="Times"/>
                <w:color w:val="000000"/>
                <w:kern w:val="24"/>
                <w:szCs w:val="22"/>
                <w:lang w:eastAsia="zh-CN"/>
              </w:rPr>
              <w:t xml:space="preserve"> denotes delay and p(.) denotes amplitude quantization values used for Rel-16 e-TypeII codebook and  </w:t>
            </w:r>
            <m:oMath>
              <m:r>
                <w:rPr>
                  <w:rFonts w:ascii="Cambria Math" w:eastAsia="Malgun Gothic" w:hAnsi="Cambria Math"/>
                  <w:color w:val="000000"/>
                  <w:kern w:val="24"/>
                  <w:szCs w:val="22"/>
                  <w:lang w:eastAsia="zh-CN"/>
                </w:rPr>
                <m:t>ϵ&gt;0</m:t>
              </m:r>
            </m:oMath>
            <w:r w:rsidRPr="00A1265A">
              <w:rPr>
                <w:rFonts w:ascii="Times" w:eastAsia="Malgun Gothic" w:hAnsi="Times"/>
                <w:color w:val="000000"/>
                <w:kern w:val="24"/>
                <w:szCs w:val="22"/>
                <w:lang w:eastAsia="zh-CN"/>
              </w:rPr>
              <w:t>):</w:t>
            </w:r>
          </w:p>
          <w:p w14:paraId="6E71CA88" w14:textId="77777777" w:rsidR="007F0E6C" w:rsidRPr="00A1265A" w:rsidRDefault="007F0E6C" w:rsidP="005D0B6C">
            <w:pPr>
              <w:numPr>
                <w:ilvl w:val="1"/>
                <w:numId w:val="48"/>
              </w:numPr>
              <w:spacing w:after="0"/>
              <w:ind w:left="1861"/>
              <w:contextualSpacing/>
              <w:rPr>
                <w:rFonts w:eastAsia="Times New Roman"/>
                <w:szCs w:val="28"/>
                <w:lang w:eastAsia="zh-CN"/>
              </w:rPr>
            </w:pPr>
            <w:r w:rsidRPr="00A1265A">
              <w:rPr>
                <w:rFonts w:ascii="Times" w:eastAsia="Malgun Gothic" w:hAnsi="Times"/>
                <w:color w:val="000000"/>
                <w:kern w:val="24"/>
                <w:szCs w:val="22"/>
                <w:lang w:eastAsia="zh-CN"/>
              </w:rPr>
              <w:t xml:space="preserve">Mode 1: </w:t>
            </w:r>
            <m:oMath>
              <m:acc>
                <m:accPr>
                  <m:ctrlPr>
                    <w:rPr>
                      <w:rFonts w:ascii="Cambria Math" w:eastAsia="Malgun Gothic" w:hAnsi="Cambria Math"/>
                      <w:i/>
                      <w:iCs/>
                      <w:color w:val="000000"/>
                      <w:kern w:val="24"/>
                      <w:szCs w:val="22"/>
                      <w:lang w:eastAsia="zh-CN"/>
                    </w:rPr>
                  </m:ctrlPr>
                </m:accPr>
                <m:e>
                  <m:r>
                    <w:rPr>
                      <w:rFonts w:ascii="Cambria Math" w:eastAsia="Malgun Gothic" w:hAnsi="Cambria Math"/>
                      <w:color w:val="000000"/>
                      <w:kern w:val="24"/>
                      <w:szCs w:val="22"/>
                      <w:lang w:eastAsia="zh-CN"/>
                    </w:rPr>
                    <m:t>θ</m:t>
                  </m:r>
                </m:e>
              </m:acc>
              <m:d>
                <m:dPr>
                  <m:ctrlPr>
                    <w:rPr>
                      <w:rFonts w:ascii="Cambria Math" w:eastAsia="Malgun Gothic" w:hAnsi="Cambria Math"/>
                      <w:i/>
                      <w:iCs/>
                      <w:color w:val="000000"/>
                      <w:kern w:val="24"/>
                      <w:szCs w:val="22"/>
                      <w:lang w:eastAsia="zh-CN"/>
                    </w:rPr>
                  </m:ctrlPr>
                </m:dPr>
                <m:e>
                  <m:r>
                    <w:rPr>
                      <w:rFonts w:ascii="Cambria Math" w:eastAsia="Malgun Gothic" w:hAnsi="Cambria Math"/>
                      <w:color w:val="000000"/>
                      <w:kern w:val="24"/>
                      <w:szCs w:val="22"/>
                      <w:lang w:eastAsia="zh-CN"/>
                    </w:rPr>
                    <m:t>D</m:t>
                  </m:r>
                </m:e>
              </m:d>
              <m:r>
                <w:rPr>
                  <w:rFonts w:ascii="Cambria Math" w:eastAsia="Malgun Gothic" w:hAnsi="Cambria Math"/>
                  <w:color w:val="000000"/>
                  <w:kern w:val="24"/>
                  <w:szCs w:val="22"/>
                  <w:lang w:eastAsia="zh-CN"/>
                </w:rPr>
                <m:t>∈p</m:t>
              </m:r>
              <m:sSup>
                <m:sSupPr>
                  <m:ctrlPr>
                    <w:rPr>
                      <w:rFonts w:ascii="Cambria Math" w:eastAsia="Malgun Gothic" w:hAnsi="Cambria Math"/>
                      <w:i/>
                      <w:iCs/>
                      <w:color w:val="000000"/>
                      <w:kern w:val="24"/>
                      <w:szCs w:val="22"/>
                      <w:lang w:eastAsia="zh-CN"/>
                    </w:rPr>
                  </m:ctrlPr>
                </m:sSupPr>
                <m:e>
                  <m:d>
                    <m:dPr>
                      <m:ctrlPr>
                        <w:rPr>
                          <w:rFonts w:ascii="Cambria Math" w:eastAsia="Malgun Gothic" w:hAnsi="Cambria Math"/>
                          <w:i/>
                          <w:iCs/>
                          <w:color w:val="000000"/>
                          <w:kern w:val="24"/>
                          <w:szCs w:val="22"/>
                          <w:lang w:eastAsia="zh-CN"/>
                        </w:rPr>
                      </m:ctrlPr>
                    </m:dPr>
                    <m:e>
                      <m:r>
                        <w:rPr>
                          <w:rFonts w:ascii="Cambria Math" w:eastAsia="Malgun Gothic" w:hAnsi="Cambria Math"/>
                          <w:color w:val="000000"/>
                          <w:kern w:val="24"/>
                          <w:szCs w:val="22"/>
                          <w:lang w:eastAsia="zh-CN"/>
                        </w:rPr>
                        <m:t>q</m:t>
                      </m:r>
                    </m:e>
                  </m:d>
                </m:e>
                <m:sup>
                  <m:r>
                    <w:rPr>
                      <w:rFonts w:ascii="Cambria Math" w:eastAsia="Malgun Gothic" w:hAnsi="Cambria Math"/>
                      <w:color w:val="000000"/>
                      <w:kern w:val="24"/>
                      <w:szCs w:val="22"/>
                      <w:lang w:eastAsia="zh-CN"/>
                    </w:rPr>
                    <m:t>2</m:t>
                  </m:r>
                </m:sup>
              </m:sSup>
              <m:r>
                <w:rPr>
                  <w:rFonts w:ascii="Cambria Math" w:eastAsia="Malgun Gothic" w:hAnsi="Cambria Math"/>
                  <w:color w:val="000000"/>
                  <w:kern w:val="24"/>
                  <w:szCs w:val="22"/>
                  <w:lang w:eastAsia="zh-CN"/>
                </w:rPr>
                <m:t>.2π, q=0,1,2,…,</m:t>
              </m:r>
              <m:sSup>
                <m:sSupPr>
                  <m:ctrlPr>
                    <w:rPr>
                      <w:rFonts w:ascii="Cambria Math" w:eastAsia="Malgun Gothic" w:hAnsi="Cambria Math"/>
                      <w:i/>
                      <w:iCs/>
                      <w:color w:val="000000"/>
                      <w:kern w:val="24"/>
                      <w:szCs w:val="22"/>
                      <w:lang w:eastAsia="zh-CN"/>
                    </w:rPr>
                  </m:ctrlPr>
                </m:sSupPr>
                <m:e>
                  <m:r>
                    <w:rPr>
                      <w:rFonts w:ascii="Cambria Math" w:eastAsia="Malgun Gothic" w:hAnsi="Cambria Math"/>
                      <w:color w:val="000000"/>
                      <w:kern w:val="24"/>
                      <w:szCs w:val="22"/>
                      <w:lang w:eastAsia="zh-CN"/>
                    </w:rPr>
                    <m:t>2</m:t>
                  </m:r>
                </m:e>
                <m:sup>
                  <m:r>
                    <w:rPr>
                      <w:rFonts w:ascii="Cambria Math" w:eastAsia="Malgun Gothic" w:hAnsi="Cambria Math"/>
                      <w:color w:val="000000"/>
                      <w:kern w:val="24"/>
                      <w:szCs w:val="22"/>
                      <w:lang w:eastAsia="zh-CN"/>
                    </w:rPr>
                    <m:t>Q</m:t>
                  </m:r>
                </m:sup>
              </m:sSup>
              <m:r>
                <w:rPr>
                  <w:rFonts w:ascii="Cambria Math" w:eastAsia="Malgun Gothic" w:hAnsi="Cambria Math"/>
                  <w:color w:val="000000"/>
                  <w:kern w:val="24"/>
                  <w:szCs w:val="22"/>
                  <w:lang w:eastAsia="zh-CN"/>
                </w:rPr>
                <m:t>-1</m:t>
              </m:r>
            </m:oMath>
          </w:p>
          <w:p w14:paraId="1E73B2C1" w14:textId="77777777" w:rsidR="007F0E6C" w:rsidRPr="00A1265A" w:rsidRDefault="007F0E6C" w:rsidP="005D0B6C">
            <w:pPr>
              <w:numPr>
                <w:ilvl w:val="1"/>
                <w:numId w:val="48"/>
              </w:numPr>
              <w:spacing w:after="0"/>
              <w:ind w:left="1861"/>
              <w:contextualSpacing/>
              <w:rPr>
                <w:rFonts w:eastAsia="Times New Roman"/>
                <w:szCs w:val="28"/>
                <w:lang w:eastAsia="zh-CN"/>
              </w:rPr>
            </w:pPr>
            <w:r w:rsidRPr="00A1265A">
              <w:rPr>
                <w:rFonts w:ascii="Times" w:eastAsia="Malgun Gothic" w:hAnsi="Times"/>
                <w:color w:val="000000"/>
                <w:kern w:val="24"/>
                <w:szCs w:val="22"/>
                <w:lang w:eastAsia="zh-CN"/>
              </w:rPr>
              <w:t xml:space="preserve">Mode 1: </w:t>
            </w:r>
            <m:oMath>
              <m:acc>
                <m:accPr>
                  <m:ctrlPr>
                    <w:rPr>
                      <w:rFonts w:ascii="Cambria Math" w:eastAsia="Malgun Gothic" w:hAnsi="Cambria Math"/>
                      <w:i/>
                      <w:iCs/>
                      <w:color w:val="000000"/>
                      <w:kern w:val="24"/>
                      <w:szCs w:val="22"/>
                      <w:lang w:eastAsia="zh-CN"/>
                    </w:rPr>
                  </m:ctrlPr>
                </m:accPr>
                <m:e>
                  <m:r>
                    <w:rPr>
                      <w:rFonts w:ascii="Cambria Math" w:eastAsia="Malgun Gothic" w:hAnsi="Cambria Math"/>
                      <w:color w:val="000000"/>
                      <w:kern w:val="24"/>
                      <w:szCs w:val="22"/>
                      <w:lang w:eastAsia="zh-CN"/>
                    </w:rPr>
                    <m:t>θ</m:t>
                  </m:r>
                </m:e>
              </m:acc>
              <m:d>
                <m:dPr>
                  <m:ctrlPr>
                    <w:rPr>
                      <w:rFonts w:ascii="Cambria Math" w:eastAsia="Malgun Gothic" w:hAnsi="Cambria Math"/>
                      <w:i/>
                      <w:iCs/>
                      <w:color w:val="000000"/>
                      <w:kern w:val="24"/>
                      <w:szCs w:val="22"/>
                      <w:lang w:eastAsia="zh-CN"/>
                    </w:rPr>
                  </m:ctrlPr>
                </m:dPr>
                <m:e>
                  <m:r>
                    <w:rPr>
                      <w:rFonts w:ascii="Cambria Math" w:eastAsia="Malgun Gothic" w:hAnsi="Cambria Math"/>
                      <w:color w:val="000000"/>
                      <w:kern w:val="24"/>
                      <w:szCs w:val="22"/>
                      <w:lang w:eastAsia="zh-CN"/>
                    </w:rPr>
                    <m:t>D</m:t>
                  </m:r>
                </m:e>
              </m:d>
              <m:r>
                <w:rPr>
                  <w:rFonts w:ascii="Cambria Math" w:eastAsia="Malgun Gothic" w:hAnsi="Cambria Math"/>
                  <w:color w:val="000000"/>
                  <w:kern w:val="24"/>
                  <w:szCs w:val="22"/>
                  <w:lang w:eastAsia="zh-CN"/>
                </w:rPr>
                <m:t>∈1-p</m:t>
              </m:r>
              <m:sSup>
                <m:sSupPr>
                  <m:ctrlPr>
                    <w:rPr>
                      <w:rFonts w:ascii="Cambria Math" w:eastAsia="Malgun Gothic" w:hAnsi="Cambria Math"/>
                      <w:i/>
                      <w:iCs/>
                      <w:color w:val="000000"/>
                      <w:kern w:val="24"/>
                      <w:szCs w:val="22"/>
                      <w:lang w:eastAsia="zh-CN"/>
                    </w:rPr>
                  </m:ctrlPr>
                </m:sSupPr>
                <m:e>
                  <m:d>
                    <m:dPr>
                      <m:ctrlPr>
                        <w:rPr>
                          <w:rFonts w:ascii="Cambria Math" w:eastAsia="Malgun Gothic" w:hAnsi="Cambria Math"/>
                          <w:i/>
                          <w:iCs/>
                          <w:color w:val="000000"/>
                          <w:kern w:val="24"/>
                          <w:szCs w:val="22"/>
                          <w:lang w:eastAsia="zh-CN"/>
                        </w:rPr>
                      </m:ctrlPr>
                    </m:dPr>
                    <m:e>
                      <m:r>
                        <w:rPr>
                          <w:rFonts w:ascii="Cambria Math" w:eastAsia="Malgun Gothic" w:hAnsi="Cambria Math"/>
                          <w:color w:val="000000"/>
                          <w:kern w:val="24"/>
                          <w:szCs w:val="22"/>
                          <w:lang w:eastAsia="zh-CN"/>
                        </w:rPr>
                        <m:t>q</m:t>
                      </m:r>
                    </m:e>
                  </m:d>
                </m:e>
                <m:sup>
                  <m:r>
                    <w:rPr>
                      <w:rFonts w:ascii="Cambria Math" w:eastAsia="Malgun Gothic" w:hAnsi="Cambria Math"/>
                      <w:color w:val="000000"/>
                      <w:kern w:val="24"/>
                      <w:szCs w:val="22"/>
                      <w:lang w:eastAsia="zh-CN"/>
                    </w:rPr>
                    <m:t>2</m:t>
                  </m:r>
                </m:sup>
              </m:sSup>
              <m:r>
                <w:rPr>
                  <w:rFonts w:ascii="Cambria Math" w:eastAsia="Malgun Gothic" w:hAnsi="Cambria Math"/>
                  <w:color w:val="000000"/>
                  <w:kern w:val="24"/>
                  <w:szCs w:val="22"/>
                  <w:lang w:eastAsia="zh-CN"/>
                </w:rPr>
                <m:t>.2π, q=0,1,2,…,</m:t>
              </m:r>
              <m:sSup>
                <m:sSupPr>
                  <m:ctrlPr>
                    <w:rPr>
                      <w:rFonts w:ascii="Cambria Math" w:eastAsia="Malgun Gothic" w:hAnsi="Cambria Math"/>
                      <w:i/>
                      <w:iCs/>
                      <w:color w:val="000000"/>
                      <w:kern w:val="24"/>
                      <w:szCs w:val="22"/>
                      <w:lang w:eastAsia="zh-CN"/>
                    </w:rPr>
                  </m:ctrlPr>
                </m:sSupPr>
                <m:e>
                  <m:r>
                    <w:rPr>
                      <w:rFonts w:ascii="Cambria Math" w:eastAsia="Malgun Gothic" w:hAnsi="Cambria Math"/>
                      <w:color w:val="000000"/>
                      <w:kern w:val="24"/>
                      <w:szCs w:val="22"/>
                      <w:lang w:eastAsia="zh-CN"/>
                    </w:rPr>
                    <m:t>2</m:t>
                  </m:r>
                </m:e>
                <m:sup>
                  <m:r>
                    <w:rPr>
                      <w:rFonts w:ascii="Cambria Math" w:eastAsia="Malgun Gothic" w:hAnsi="Cambria Math"/>
                      <w:color w:val="000000"/>
                      <w:kern w:val="24"/>
                      <w:szCs w:val="22"/>
                      <w:lang w:eastAsia="zh-CN"/>
                    </w:rPr>
                    <m:t>Q</m:t>
                  </m:r>
                </m:sup>
              </m:sSup>
              <m:r>
                <w:rPr>
                  <w:rFonts w:ascii="Cambria Math" w:eastAsia="Malgun Gothic" w:hAnsi="Cambria Math"/>
                  <w:color w:val="000000"/>
                  <w:kern w:val="24"/>
                  <w:szCs w:val="22"/>
                  <w:lang w:eastAsia="zh-CN"/>
                </w:rPr>
                <m:t>-1</m:t>
              </m:r>
            </m:oMath>
          </w:p>
          <w:p w14:paraId="579D4697" w14:textId="77777777" w:rsidR="007F0E6C" w:rsidRPr="00A1265A" w:rsidRDefault="007F0E6C" w:rsidP="005D0B6C">
            <w:pPr>
              <w:numPr>
                <w:ilvl w:val="1"/>
                <w:numId w:val="48"/>
              </w:numPr>
              <w:spacing w:after="0"/>
              <w:ind w:left="1861"/>
              <w:contextualSpacing/>
              <w:rPr>
                <w:rFonts w:eastAsia="Times New Roman"/>
                <w:szCs w:val="28"/>
                <w:lang w:eastAsia="zh-CN"/>
              </w:rPr>
            </w:pPr>
            <w:r w:rsidRPr="00A1265A">
              <w:rPr>
                <w:rFonts w:ascii="Times" w:eastAsia="Malgun Gothic" w:hAnsi="Times"/>
                <w:color w:val="000000"/>
                <w:kern w:val="24"/>
                <w:szCs w:val="22"/>
                <w:lang w:val="en-GB" w:eastAsia="zh-CN"/>
              </w:rPr>
              <w:t>The quantization mode is selected by UE and reported to gNB.</w:t>
            </w:r>
          </w:p>
          <w:p w14:paraId="47A9FCB3" w14:textId="77777777" w:rsidR="007F0E6C" w:rsidRPr="00A1265A" w:rsidRDefault="007F0E6C" w:rsidP="007F0E6C">
            <w:pPr>
              <w:numPr>
                <w:ilvl w:val="0"/>
                <w:numId w:val="48"/>
              </w:numPr>
              <w:spacing w:after="0"/>
              <w:ind w:left="994"/>
              <w:contextualSpacing/>
              <w:rPr>
                <w:rFonts w:eastAsia="Times New Roman"/>
                <w:szCs w:val="28"/>
                <w:lang w:eastAsia="zh-CN"/>
              </w:rPr>
            </w:pPr>
            <w:r w:rsidRPr="00A1265A">
              <w:rPr>
                <w:rFonts w:ascii="Times" w:eastAsia="Malgun Gothic" w:hAnsi="Times"/>
                <w:color w:val="000000"/>
                <w:kern w:val="24"/>
                <w:szCs w:val="22"/>
                <w:lang w:val="en-GB" w:eastAsia="zh-CN"/>
              </w:rPr>
              <w:lastRenderedPageBreak/>
              <w:t>Alt7. A given correlation phase value</w:t>
            </w:r>
            <w:r w:rsidRPr="00A1265A">
              <w:rPr>
                <w:rFonts w:ascii="Times" w:eastAsia="Malgun Gothic" w:hAnsi="Times"/>
                <w:color w:val="000000"/>
                <w:kern w:val="24"/>
                <w:szCs w:val="22"/>
                <w:lang w:eastAsia="zh-CN"/>
              </w:rPr>
              <w:t xml:space="preserve"> </w:t>
            </w:r>
            <m:oMath>
              <m:r>
                <w:rPr>
                  <w:rFonts w:ascii="Cambria Math" w:eastAsia="Malgun Gothic" w:hAnsi="Cambria Math"/>
                  <w:color w:val="000000"/>
                  <w:kern w:val="24"/>
                  <w:szCs w:val="22"/>
                  <w:lang w:eastAsia="zh-CN"/>
                </w:rPr>
                <m:t>θ</m:t>
              </m:r>
              <m:r>
                <m:rPr>
                  <m:sty m:val="p"/>
                </m:rPr>
                <w:rPr>
                  <w:rFonts w:ascii="Cambria Math" w:eastAsia="Malgun Gothic" w:hAnsi="Cambria Math"/>
                  <w:color w:val="000000"/>
                  <w:kern w:val="24"/>
                  <w:szCs w:val="22"/>
                  <w:lang w:eastAsia="zh-CN"/>
                </w:rPr>
                <m:t>(</m:t>
              </m:r>
              <m:r>
                <w:rPr>
                  <w:rFonts w:ascii="Cambria Math" w:eastAsia="Malgun Gothic" w:hAnsi="Cambria Math"/>
                  <w:color w:val="000000"/>
                  <w:kern w:val="24"/>
                  <w:szCs w:val="22"/>
                  <w:lang w:eastAsia="zh-CN"/>
                </w:rPr>
                <m:t>D</m:t>
              </m:r>
              <m:r>
                <m:rPr>
                  <m:sty m:val="p"/>
                </m:rPr>
                <w:rPr>
                  <w:rFonts w:ascii="Cambria Math" w:eastAsia="Malgun Gothic" w:hAnsi="Cambria Math"/>
                  <w:color w:val="000000"/>
                  <w:kern w:val="24"/>
                  <w:szCs w:val="22"/>
                  <w:lang w:eastAsia="zh-CN"/>
                </w:rPr>
                <m:t>)</m:t>
              </m:r>
            </m:oMath>
            <w:r w:rsidRPr="00A1265A">
              <w:rPr>
                <w:rFonts w:ascii="Times" w:eastAsia="Malgun Gothic" w:hAnsi="Times"/>
                <w:color w:val="000000"/>
                <w:kern w:val="24"/>
                <w:szCs w:val="22"/>
                <w:lang w:eastAsia="zh-CN"/>
              </w:rPr>
              <w:t xml:space="preserve"> is quantized to </w:t>
            </w:r>
            <m:oMath>
              <m:acc>
                <m:accPr>
                  <m:ctrlPr>
                    <w:rPr>
                      <w:rFonts w:ascii="Cambria Math" w:eastAsia="Malgun Gothic" w:hAnsi="Cambria Math"/>
                      <w:color w:val="000000"/>
                      <w:kern w:val="24"/>
                      <w:szCs w:val="22"/>
                      <w:lang w:eastAsia="zh-CN"/>
                    </w:rPr>
                  </m:ctrlPr>
                </m:accPr>
                <m:e>
                  <m:r>
                    <w:rPr>
                      <w:rFonts w:ascii="Cambria Math" w:eastAsia="Malgun Gothic" w:hAnsi="Cambria Math"/>
                      <w:color w:val="000000"/>
                      <w:kern w:val="24"/>
                      <w:szCs w:val="22"/>
                      <w:lang w:eastAsia="zh-CN"/>
                    </w:rPr>
                    <m:t>θ</m:t>
                  </m:r>
                </m:e>
              </m:acc>
              <m:d>
                <m:dPr>
                  <m:ctrlPr>
                    <w:rPr>
                      <w:rFonts w:ascii="Cambria Math" w:eastAsia="Malgun Gothic" w:hAnsi="Cambria Math"/>
                      <w:color w:val="000000"/>
                      <w:kern w:val="24"/>
                      <w:szCs w:val="22"/>
                      <w:lang w:eastAsia="zh-CN"/>
                    </w:rPr>
                  </m:ctrlPr>
                </m:dPr>
                <m:e>
                  <m:r>
                    <w:rPr>
                      <w:rFonts w:ascii="Cambria Math" w:eastAsia="Malgun Gothic" w:hAnsi="Cambria Math"/>
                      <w:color w:val="000000"/>
                      <w:kern w:val="24"/>
                      <w:szCs w:val="22"/>
                      <w:lang w:eastAsia="zh-CN"/>
                    </w:rPr>
                    <m:t>D</m:t>
                  </m:r>
                </m:e>
              </m:d>
            </m:oMath>
            <w:r w:rsidRPr="00A1265A">
              <w:rPr>
                <w:rFonts w:ascii="Times" w:eastAsia="Malgun Gothic" w:hAnsi="Times"/>
                <w:color w:val="000000"/>
                <w:kern w:val="24"/>
                <w:szCs w:val="22"/>
                <w:lang w:eastAsia="zh-CN"/>
              </w:rPr>
              <w:t xml:space="preserve"> based on the following alphabet:: </w:t>
            </w:r>
            <m:oMath>
              <m:acc>
                <m:accPr>
                  <m:ctrlPr>
                    <w:rPr>
                      <w:rFonts w:ascii="Cambria Math" w:eastAsia="Malgun Gothic" w:hAnsi="Cambria Math"/>
                      <w:color w:val="000000"/>
                      <w:kern w:val="24"/>
                      <w:szCs w:val="22"/>
                      <w:lang w:eastAsia="zh-CN"/>
                    </w:rPr>
                  </m:ctrlPr>
                </m:accPr>
                <m:e>
                  <m:r>
                    <w:rPr>
                      <w:rFonts w:ascii="Cambria Math" w:eastAsia="Malgun Gothic" w:hAnsi="Cambria Math"/>
                      <w:color w:val="000000"/>
                      <w:kern w:val="24"/>
                      <w:szCs w:val="22"/>
                      <w:lang w:eastAsia="zh-CN"/>
                    </w:rPr>
                    <m:t>θ</m:t>
                  </m:r>
                </m:e>
              </m:acc>
              <m:d>
                <m:dPr>
                  <m:ctrlPr>
                    <w:rPr>
                      <w:rFonts w:ascii="Cambria Math" w:eastAsia="Malgun Gothic" w:hAnsi="Cambria Math"/>
                      <w:color w:val="000000"/>
                      <w:kern w:val="24"/>
                      <w:szCs w:val="22"/>
                      <w:lang w:eastAsia="zh-CN"/>
                    </w:rPr>
                  </m:ctrlPr>
                </m:dPr>
                <m:e>
                  <m:r>
                    <w:rPr>
                      <w:rFonts w:ascii="Cambria Math" w:eastAsia="Malgun Gothic" w:hAnsi="Cambria Math"/>
                      <w:color w:val="000000"/>
                      <w:kern w:val="24"/>
                      <w:szCs w:val="22"/>
                      <w:lang w:eastAsia="zh-CN"/>
                    </w:rPr>
                    <m:t>D</m:t>
                  </m:r>
                </m:e>
              </m:d>
              <m:r>
                <m:rPr>
                  <m:sty m:val="p"/>
                </m:rPr>
                <w:rPr>
                  <w:rFonts w:ascii="Cambria Math" w:eastAsia="Malgun Gothic" w:hAnsi="Cambria Math"/>
                  <w:color w:val="000000"/>
                  <w:kern w:val="24"/>
                  <w:szCs w:val="22"/>
                  <w:lang w:eastAsia="zh-CN"/>
                </w:rPr>
                <m:t>∈</m:t>
              </m:r>
              <m:d>
                <m:dPr>
                  <m:begChr m:val="{"/>
                  <m:endChr m:val="}"/>
                  <m:ctrlPr>
                    <w:rPr>
                      <w:rFonts w:ascii="Cambria Math" w:eastAsia="Malgun Gothic" w:hAnsi="Cambria Math"/>
                      <w:color w:val="000000"/>
                      <w:kern w:val="24"/>
                      <w:szCs w:val="22"/>
                      <w:lang w:eastAsia="zh-CN"/>
                    </w:rPr>
                  </m:ctrlPr>
                </m:dPr>
                <m:e>
                  <m:r>
                    <w:rPr>
                      <w:rFonts w:ascii="Cambria Math" w:eastAsia="Malgun Gothic" w:hAnsi="Cambria Math"/>
                      <w:color w:val="000000"/>
                      <w:kern w:val="24"/>
                      <w:szCs w:val="22"/>
                      <w:lang w:eastAsia="zh-CN"/>
                    </w:rPr>
                    <m:t>ϕ</m:t>
                  </m:r>
                  <m:f>
                    <m:fPr>
                      <m:ctrlPr>
                        <w:rPr>
                          <w:rFonts w:ascii="Cambria Math" w:eastAsia="Malgun Gothic" w:hAnsi="Cambria Math"/>
                          <w:color w:val="000000"/>
                          <w:kern w:val="24"/>
                          <w:szCs w:val="22"/>
                          <w:lang w:eastAsia="zh-CN"/>
                        </w:rPr>
                      </m:ctrlPr>
                    </m:fPr>
                    <m:num>
                      <m:r>
                        <w:rPr>
                          <w:rFonts w:ascii="Cambria Math" w:eastAsia="Malgun Gothic" w:hAnsi="Cambria Math"/>
                          <w:color w:val="000000"/>
                          <w:kern w:val="24"/>
                          <w:szCs w:val="22"/>
                          <w:lang w:eastAsia="zh-CN"/>
                        </w:rPr>
                        <m:t>q</m:t>
                      </m:r>
                      <m:r>
                        <m:rPr>
                          <m:sty m:val="p"/>
                        </m:rPr>
                        <w:rPr>
                          <w:rFonts w:ascii="Cambria Math" w:eastAsia="Malgun Gothic" w:hAnsi="Cambria Math"/>
                          <w:color w:val="000000"/>
                          <w:kern w:val="24"/>
                          <w:szCs w:val="22"/>
                          <w:lang w:eastAsia="zh-CN"/>
                        </w:rPr>
                        <m:t>-</m:t>
                      </m:r>
                      <m:sSub>
                        <m:sSubPr>
                          <m:ctrlPr>
                            <w:rPr>
                              <w:rFonts w:ascii="Cambria Math" w:eastAsia="Malgun Gothic" w:hAnsi="Cambria Math"/>
                              <w:color w:val="000000"/>
                              <w:kern w:val="24"/>
                              <w:szCs w:val="22"/>
                              <w:lang w:eastAsia="zh-CN"/>
                            </w:rPr>
                          </m:ctrlPr>
                        </m:sSubPr>
                        <m:e>
                          <m:r>
                            <w:rPr>
                              <w:rFonts w:ascii="Cambria Math" w:eastAsia="Malgun Gothic" w:hAnsi="Cambria Math"/>
                              <w:color w:val="000000"/>
                              <w:kern w:val="24"/>
                              <w:szCs w:val="22"/>
                              <w:lang w:eastAsia="zh-CN"/>
                            </w:rPr>
                            <m:t>ψ</m:t>
                          </m:r>
                        </m:e>
                        <m:sub>
                          <m:r>
                            <m:rPr>
                              <m:sty m:val="p"/>
                            </m:rPr>
                            <w:rPr>
                              <w:rFonts w:ascii="Cambria Math" w:eastAsia="Malgun Gothic" w:hAnsi="Cambria Math"/>
                              <w:color w:val="000000"/>
                              <w:kern w:val="24"/>
                              <w:szCs w:val="22"/>
                              <w:lang w:eastAsia="zh-CN"/>
                            </w:rPr>
                            <m:t>0</m:t>
                          </m:r>
                        </m:sub>
                      </m:sSub>
                    </m:num>
                    <m:den>
                      <m:sSup>
                        <m:sSupPr>
                          <m:ctrlPr>
                            <w:rPr>
                              <w:rFonts w:ascii="Cambria Math" w:eastAsia="Malgun Gothic" w:hAnsi="Cambria Math"/>
                              <w:color w:val="000000"/>
                              <w:kern w:val="24"/>
                              <w:szCs w:val="22"/>
                              <w:lang w:eastAsia="zh-CN"/>
                            </w:rPr>
                          </m:ctrlPr>
                        </m:sSupPr>
                        <m:e>
                          <m:r>
                            <m:rPr>
                              <m:sty m:val="p"/>
                            </m:rPr>
                            <w:rPr>
                              <w:rFonts w:ascii="Cambria Math" w:eastAsia="Malgun Gothic" w:hAnsi="Cambria Math"/>
                              <w:color w:val="000000"/>
                              <w:kern w:val="24"/>
                              <w:szCs w:val="22"/>
                              <w:lang w:eastAsia="zh-CN"/>
                            </w:rPr>
                            <m:t>2</m:t>
                          </m:r>
                        </m:e>
                        <m:sup>
                          <m:r>
                            <w:rPr>
                              <w:rFonts w:ascii="Cambria Math" w:eastAsia="Malgun Gothic" w:hAnsi="Cambria Math"/>
                              <w:color w:val="000000"/>
                              <w:kern w:val="24"/>
                              <w:szCs w:val="22"/>
                              <w:lang w:eastAsia="zh-CN"/>
                            </w:rPr>
                            <m:t>Q</m:t>
                          </m:r>
                        </m:sup>
                      </m:sSup>
                    </m:den>
                  </m:f>
                </m:e>
              </m:d>
            </m:oMath>
            <w:r w:rsidRPr="00A1265A">
              <w:rPr>
                <w:rFonts w:ascii="Times" w:eastAsia="Malgun Gothic" w:hAnsi="Times"/>
                <w:color w:val="000000"/>
                <w:kern w:val="24"/>
                <w:szCs w:val="22"/>
                <w:lang w:eastAsia="zh-CN"/>
              </w:rPr>
              <w:t xml:space="preserve">, with </w:t>
            </w:r>
            <m:oMath>
              <m:r>
                <w:rPr>
                  <w:rFonts w:ascii="Cambria Math" w:eastAsia="Malgun Gothic" w:hAnsi="Cambria Math"/>
                  <w:color w:val="000000"/>
                  <w:kern w:val="24"/>
                  <w:szCs w:val="22"/>
                  <w:lang w:eastAsia="zh-CN"/>
                </w:rPr>
                <m:t>q</m:t>
              </m:r>
              <m:r>
                <m:rPr>
                  <m:sty m:val="p"/>
                </m:rPr>
                <w:rPr>
                  <w:rFonts w:ascii="Cambria Math" w:eastAsia="Malgun Gothic" w:hAnsi="Cambria Math"/>
                  <w:color w:val="000000"/>
                  <w:kern w:val="24"/>
                  <w:szCs w:val="22"/>
                  <w:lang w:eastAsia="zh-CN"/>
                </w:rPr>
                <m:t>=0,1, …, </m:t>
              </m:r>
              <m:sSup>
                <m:sSupPr>
                  <m:ctrlPr>
                    <w:rPr>
                      <w:rFonts w:ascii="Cambria Math" w:eastAsia="Malgun Gothic" w:hAnsi="Cambria Math"/>
                      <w:color w:val="000000"/>
                      <w:kern w:val="24"/>
                      <w:szCs w:val="22"/>
                      <w:lang w:eastAsia="zh-CN"/>
                    </w:rPr>
                  </m:ctrlPr>
                </m:sSupPr>
                <m:e>
                  <m:r>
                    <m:rPr>
                      <m:sty m:val="p"/>
                    </m:rPr>
                    <w:rPr>
                      <w:rFonts w:ascii="Cambria Math" w:eastAsia="Malgun Gothic" w:hAnsi="Cambria Math"/>
                      <w:color w:val="000000"/>
                      <w:kern w:val="24"/>
                      <w:szCs w:val="22"/>
                      <w:lang w:eastAsia="zh-CN"/>
                    </w:rPr>
                    <m:t>2</m:t>
                  </m:r>
                </m:e>
                <m:sup>
                  <m:r>
                    <w:rPr>
                      <w:rFonts w:ascii="Cambria Math" w:eastAsia="Malgun Gothic" w:hAnsi="Cambria Math"/>
                      <w:color w:val="000000"/>
                      <w:kern w:val="24"/>
                      <w:szCs w:val="22"/>
                      <w:lang w:eastAsia="zh-CN"/>
                    </w:rPr>
                    <m:t>Q</m:t>
                  </m:r>
                </m:sup>
              </m:sSup>
              <m:r>
                <m:rPr>
                  <m:sty m:val="p"/>
                </m:rPr>
                <w:rPr>
                  <w:rFonts w:ascii="Cambria Math" w:eastAsia="Malgun Gothic" w:hAnsi="Cambria Math"/>
                  <w:color w:val="000000"/>
                  <w:kern w:val="24"/>
                  <w:szCs w:val="22"/>
                  <w:lang w:eastAsia="zh-CN"/>
                </w:rPr>
                <m:t>-1, </m:t>
              </m:r>
              <m:sSub>
                <m:sSubPr>
                  <m:ctrlPr>
                    <w:rPr>
                      <w:rFonts w:ascii="Cambria Math" w:eastAsia="Malgun Gothic" w:hAnsi="Cambria Math"/>
                      <w:color w:val="000000"/>
                      <w:kern w:val="24"/>
                      <w:szCs w:val="22"/>
                      <w:lang w:eastAsia="zh-CN"/>
                    </w:rPr>
                  </m:ctrlPr>
                </m:sSubPr>
                <m:e>
                  <m:r>
                    <w:rPr>
                      <w:rFonts w:ascii="Cambria Math" w:eastAsia="Malgun Gothic" w:hAnsi="Cambria Math"/>
                      <w:color w:val="000000"/>
                      <w:kern w:val="24"/>
                      <w:szCs w:val="22"/>
                      <w:lang w:eastAsia="zh-CN"/>
                    </w:rPr>
                    <m:t>ϕ</m:t>
                  </m:r>
                </m:e>
                <m:sub>
                  <m:r>
                    <m:rPr>
                      <m:sty m:val="p"/>
                    </m:rPr>
                    <w:rPr>
                      <w:rFonts w:ascii="Cambria Math" w:eastAsia="Malgun Gothic" w:hAnsi="Cambria Math"/>
                      <w:color w:val="000000"/>
                      <w:kern w:val="24"/>
                      <w:szCs w:val="22"/>
                      <w:lang w:eastAsia="zh-CN"/>
                    </w:rPr>
                    <m:t>0</m:t>
                  </m:r>
                </m:sub>
              </m:sSub>
              <m:r>
                <m:rPr>
                  <m:sty m:val="p"/>
                </m:rPr>
                <w:rPr>
                  <w:rFonts w:ascii="Cambria Math" w:eastAsia="Malgun Gothic" w:hAnsi="Cambria Math"/>
                  <w:color w:val="000000"/>
                  <w:kern w:val="24"/>
                  <w:szCs w:val="22"/>
                  <w:lang w:eastAsia="zh-CN"/>
                </w:rPr>
                <m:t>=</m:t>
              </m:r>
              <m:sSup>
                <m:sSupPr>
                  <m:ctrlPr>
                    <w:rPr>
                      <w:rFonts w:ascii="Cambria Math" w:eastAsia="Malgun Gothic" w:hAnsi="Cambria Math"/>
                      <w:color w:val="000000"/>
                      <w:kern w:val="24"/>
                      <w:szCs w:val="22"/>
                      <w:lang w:eastAsia="zh-CN"/>
                    </w:rPr>
                  </m:ctrlPr>
                </m:sSupPr>
                <m:e>
                  <m:r>
                    <m:rPr>
                      <m:sty m:val="p"/>
                    </m:rPr>
                    <w:rPr>
                      <w:rFonts w:ascii="Cambria Math" w:eastAsia="Malgun Gothic" w:hAnsi="Cambria Math"/>
                      <w:color w:val="000000"/>
                      <w:kern w:val="24"/>
                      <w:szCs w:val="22"/>
                      <w:lang w:eastAsia="zh-CN"/>
                    </w:rPr>
                    <m:t>2</m:t>
                  </m:r>
                </m:e>
                <m:sup>
                  <m:r>
                    <w:rPr>
                      <w:rFonts w:ascii="Cambria Math" w:eastAsia="Malgun Gothic" w:hAnsi="Cambria Math"/>
                      <w:color w:val="000000"/>
                      <w:kern w:val="24"/>
                      <w:szCs w:val="22"/>
                      <w:lang w:eastAsia="zh-CN"/>
                    </w:rPr>
                    <m:t>Q</m:t>
                  </m:r>
                  <m:r>
                    <m:rPr>
                      <m:sty m:val="p"/>
                    </m:rPr>
                    <w:rPr>
                      <w:rFonts w:ascii="Cambria Math" w:eastAsia="Malgun Gothic" w:hAnsi="Cambria Math"/>
                      <w:color w:val="000000"/>
                      <w:kern w:val="24"/>
                      <w:szCs w:val="22"/>
                      <w:lang w:eastAsia="zh-CN"/>
                    </w:rPr>
                    <m:t>-1</m:t>
                  </m:r>
                </m:sup>
              </m:sSup>
              <m:r>
                <m:rPr>
                  <m:sty m:val="p"/>
                </m:rPr>
                <w:rPr>
                  <w:rFonts w:ascii="Cambria Math" w:eastAsia="Malgun Gothic" w:hAnsi="Cambria Math"/>
                  <w:color w:val="000000"/>
                  <w:kern w:val="24"/>
                  <w:szCs w:val="22"/>
                  <w:lang w:eastAsia="zh-CN"/>
                </w:rPr>
                <m:t>-1</m:t>
              </m:r>
            </m:oMath>
            <w:r w:rsidRPr="00A1265A">
              <w:rPr>
                <w:rFonts w:ascii="Times" w:eastAsia="Malgun Gothic" w:hAnsi="Times"/>
                <w:color w:val="000000"/>
                <w:kern w:val="24"/>
                <w:szCs w:val="22"/>
                <w:lang w:eastAsia="zh-CN"/>
              </w:rPr>
              <w:t xml:space="preserve">. TBD value(s) of </w:t>
            </w:r>
            <m:oMath>
              <m:r>
                <w:rPr>
                  <w:rFonts w:ascii="Cambria Math" w:eastAsia="Malgun Gothic" w:hAnsi="Cambria Math"/>
                  <w:color w:val="000000"/>
                  <w:kern w:val="24"/>
                  <w:szCs w:val="22"/>
                  <w:lang w:eastAsia="zh-CN"/>
                </w:rPr>
                <m:t>ϕ∈{2π, π,</m:t>
              </m:r>
              <m:f>
                <m:fPr>
                  <m:ctrlPr>
                    <w:rPr>
                      <w:rFonts w:ascii="Cambria Math" w:eastAsia="Malgun Gothic" w:hAnsi="Cambria Math"/>
                      <w:i/>
                      <w:iCs/>
                      <w:color w:val="000000"/>
                      <w:kern w:val="24"/>
                      <w:szCs w:val="22"/>
                      <w:lang w:eastAsia="zh-CN"/>
                    </w:rPr>
                  </m:ctrlPr>
                </m:fPr>
                <m:num>
                  <m:r>
                    <w:rPr>
                      <w:rFonts w:ascii="Cambria Math" w:eastAsia="Malgun Gothic" w:hAnsi="Cambria Math"/>
                      <w:color w:val="000000"/>
                      <w:kern w:val="24"/>
                      <w:szCs w:val="22"/>
                      <w:lang w:eastAsia="zh-CN"/>
                    </w:rPr>
                    <m:t>π</m:t>
                  </m:r>
                </m:num>
                <m:den>
                  <m:r>
                    <w:rPr>
                      <w:rFonts w:ascii="Cambria Math" w:eastAsia="Malgun Gothic" w:hAnsi="Cambria Math"/>
                      <w:color w:val="000000"/>
                      <w:kern w:val="24"/>
                      <w:szCs w:val="22"/>
                      <w:lang w:eastAsia="zh-CN"/>
                    </w:rPr>
                    <m:t>2</m:t>
                  </m:r>
                </m:den>
              </m:f>
              <m:r>
                <w:rPr>
                  <w:rFonts w:ascii="Cambria Math" w:eastAsia="Malgun Gothic" w:hAnsi="Cambria Math"/>
                  <w:color w:val="000000"/>
                  <w:kern w:val="24"/>
                  <w:szCs w:val="22"/>
                  <w:lang w:eastAsia="zh-CN"/>
                </w:rPr>
                <m:t>,</m:t>
              </m:r>
              <m:f>
                <m:fPr>
                  <m:ctrlPr>
                    <w:rPr>
                      <w:rFonts w:ascii="Cambria Math" w:eastAsia="Malgun Gothic" w:hAnsi="Cambria Math"/>
                      <w:i/>
                      <w:iCs/>
                      <w:color w:val="000000"/>
                      <w:kern w:val="24"/>
                      <w:szCs w:val="22"/>
                      <w:lang w:eastAsia="zh-CN"/>
                    </w:rPr>
                  </m:ctrlPr>
                </m:fPr>
                <m:num>
                  <m:r>
                    <w:rPr>
                      <w:rFonts w:ascii="Cambria Math" w:eastAsia="Malgun Gothic" w:hAnsi="Cambria Math"/>
                      <w:color w:val="000000"/>
                      <w:kern w:val="24"/>
                      <w:szCs w:val="22"/>
                      <w:lang w:eastAsia="zh-CN"/>
                    </w:rPr>
                    <m:t>π</m:t>
                  </m:r>
                </m:num>
                <m:den>
                  <m:r>
                    <w:rPr>
                      <w:rFonts w:ascii="Cambria Math" w:eastAsia="Malgun Gothic" w:hAnsi="Cambria Math"/>
                      <w:color w:val="000000"/>
                      <w:kern w:val="24"/>
                      <w:szCs w:val="22"/>
                      <w:lang w:eastAsia="zh-CN"/>
                    </w:rPr>
                    <m:t>4</m:t>
                  </m:r>
                </m:den>
              </m:f>
              <m:r>
                <w:rPr>
                  <w:rFonts w:ascii="Cambria Math" w:eastAsia="Malgun Gothic" w:hAnsi="Cambria Math"/>
                  <w:color w:val="000000"/>
                  <w:kern w:val="24"/>
                  <w:szCs w:val="22"/>
                  <w:lang w:eastAsia="zh-CN"/>
                </w:rPr>
                <m:t>,</m:t>
              </m:r>
              <m:f>
                <m:fPr>
                  <m:ctrlPr>
                    <w:rPr>
                      <w:rFonts w:ascii="Cambria Math" w:eastAsia="Malgun Gothic" w:hAnsi="Cambria Math"/>
                      <w:i/>
                      <w:iCs/>
                      <w:color w:val="000000"/>
                      <w:kern w:val="24"/>
                      <w:szCs w:val="22"/>
                      <w:lang w:eastAsia="zh-CN"/>
                    </w:rPr>
                  </m:ctrlPr>
                </m:fPr>
                <m:num>
                  <m:r>
                    <w:rPr>
                      <w:rFonts w:ascii="Cambria Math" w:eastAsia="Malgun Gothic" w:hAnsi="Cambria Math"/>
                      <w:color w:val="000000"/>
                      <w:kern w:val="24"/>
                      <w:szCs w:val="22"/>
                      <w:lang w:eastAsia="zh-CN"/>
                    </w:rPr>
                    <m:t>π</m:t>
                  </m:r>
                </m:num>
                <m:den>
                  <m:r>
                    <w:rPr>
                      <w:rFonts w:ascii="Cambria Math" w:eastAsia="Malgun Gothic" w:hAnsi="Cambria Math"/>
                      <w:color w:val="000000"/>
                      <w:kern w:val="24"/>
                      <w:szCs w:val="22"/>
                      <w:lang w:eastAsia="zh-CN"/>
                    </w:rPr>
                    <m:t>8</m:t>
                  </m:r>
                </m:den>
              </m:f>
              <m:r>
                <w:rPr>
                  <w:rFonts w:ascii="Cambria Math" w:eastAsia="Malgun Gothic" w:hAnsi="Cambria Math"/>
                  <w:color w:val="000000"/>
                  <w:kern w:val="24"/>
                  <w:szCs w:val="22"/>
                  <w:lang w:eastAsia="zh-CN"/>
                </w:rPr>
                <m:t>}</m:t>
              </m:r>
            </m:oMath>
          </w:p>
          <w:p w14:paraId="5F5043CE" w14:textId="77777777" w:rsidR="007F0E6C" w:rsidRPr="00A1265A" w:rsidRDefault="007F0E6C" w:rsidP="007F0E6C">
            <w:pPr>
              <w:spacing w:after="0"/>
              <w:jc w:val="both"/>
              <w:rPr>
                <w:rFonts w:eastAsia="Times New Roman"/>
                <w:sz w:val="28"/>
                <w:szCs w:val="28"/>
                <w:lang w:eastAsia="zh-CN"/>
              </w:rPr>
            </w:pPr>
            <w:r w:rsidRPr="00A1265A">
              <w:rPr>
                <w:rFonts w:ascii="Times" w:eastAsia="Malgun Gothic" w:hAnsi="Times"/>
                <w:color w:val="000000"/>
                <w:kern w:val="24"/>
                <w:szCs w:val="22"/>
                <w:lang w:val="en-GB" w:eastAsia="zh-CN"/>
              </w:rPr>
              <w:t>The evaluation should consider the impact of delay tracking operation at the UE where the phase difference between two slots can be close to zero.</w:t>
            </w:r>
          </w:p>
          <w:p w14:paraId="25461B71" w14:textId="77777777" w:rsidR="007F0E6C" w:rsidRPr="007F0E6C" w:rsidRDefault="007F0E6C" w:rsidP="007F0E6C">
            <w:pPr>
              <w:spacing w:after="0"/>
              <w:jc w:val="both"/>
              <w:rPr>
                <w:rFonts w:eastAsia="Times New Roman"/>
                <w:sz w:val="24"/>
                <w:szCs w:val="24"/>
                <w:lang w:eastAsia="zh-CN"/>
              </w:rPr>
            </w:pPr>
            <w:r w:rsidRPr="00A1265A">
              <w:rPr>
                <w:rFonts w:ascii="Times" w:eastAsia="Malgun Gothic" w:hAnsi="Times"/>
                <w:color w:val="000000"/>
                <w:kern w:val="24"/>
                <w:szCs w:val="22"/>
                <w:lang w:val="en-GB" w:eastAsia="zh-CN"/>
              </w:rPr>
              <w:t>Note: This proposal doesn’t preclude the UE supporting only smaller delay values (e.g. 4-symbol only) for the phase report (which is already optional)</w:t>
            </w:r>
          </w:p>
        </w:tc>
      </w:tr>
    </w:tbl>
    <w:p w14:paraId="2E54ADAB" w14:textId="0024A0EB" w:rsidR="007F0E6C" w:rsidRDefault="007F0E6C" w:rsidP="00A1265A"/>
    <w:p w14:paraId="183DFAE4" w14:textId="2824EC0C" w:rsidR="00BB1AC8" w:rsidRDefault="00BB1AC8" w:rsidP="00A1265A">
      <w:r>
        <w:t xml:space="preserve">For phase quantization, it is our view that it is not necessary to strive for marginal gains on the expense of complexity. From that perspective, we believe linear phase quantization is sufficiently good, </w:t>
      </w:r>
      <w:r w:rsidR="00F80375">
        <w:t>scalable,</w:t>
      </w:r>
      <w:r>
        <w:t xml:space="preserve"> and flexible </w:t>
      </w:r>
      <w:r w:rsidR="00F80375">
        <w:t>to support TDCP’s phase quantization.</w:t>
      </w:r>
    </w:p>
    <w:p w14:paraId="78AF250E" w14:textId="6138A31B" w:rsidR="00F80375" w:rsidRDefault="00F80375" w:rsidP="00A1265A">
      <w:r>
        <w:t xml:space="preserve">Even though exponential phase quantization may provide gains over linear quantization, it can only do so in limited conditions which is not guaranteed to occur in practice. For instance, the exponential phase quantization works better under the assumption that is more likely to have phase values close to zero than </w:t>
      </w:r>
      <m:oMath>
        <m:r>
          <w:rPr>
            <w:rFonts w:ascii="Cambria Math" w:hAnsi="Cambria Math"/>
          </w:rPr>
          <m:t>π</m:t>
        </m:r>
      </m:oMath>
      <w:r>
        <w:t>. This is a strong assumption, especially for the TDCP’s optional feature where multiple coefficients are expected to be reported. Hence, even if one or two coefficients may satisfy the assumption, it not likely that the remaining coefficients (at larger lag values) will also satisfy the assumption (that their phases are closer to 0).</w:t>
      </w:r>
    </w:p>
    <w:p w14:paraId="54D622B7" w14:textId="25E53CB7" w:rsidR="00F80375" w:rsidRDefault="00F80375" w:rsidP="00A1265A">
      <w:r w:rsidRPr="00F80375">
        <w:rPr>
          <w:b/>
          <w:bCs/>
          <w:i/>
          <w:iCs/>
        </w:rPr>
        <w:t>Observation</w:t>
      </w:r>
      <w:r w:rsidR="00E71D0D">
        <w:rPr>
          <w:b/>
          <w:bCs/>
          <w:i/>
          <w:iCs/>
        </w:rPr>
        <w:t xml:space="preserve"> </w:t>
      </w:r>
      <w:r w:rsidR="007C32CE">
        <w:rPr>
          <w:b/>
          <w:bCs/>
          <w:i/>
          <w:iCs/>
        </w:rPr>
        <w:t>5</w:t>
      </w:r>
      <w:r w:rsidRPr="00F80375">
        <w:rPr>
          <w:b/>
          <w:bCs/>
          <w:i/>
          <w:iCs/>
        </w:rPr>
        <w:t>:</w:t>
      </w:r>
      <w:r>
        <w:t xml:space="preserve"> For the optional TDCP feature where multiple coefficients are reported, it is unlikely that coefficients with large delays will have phases close to 0.</w:t>
      </w:r>
    </w:p>
    <w:p w14:paraId="0CAAE1B5" w14:textId="013E81D7" w:rsidR="00F80375" w:rsidRDefault="00F80375" w:rsidP="00A1265A">
      <w:r w:rsidRPr="00F80375">
        <w:rPr>
          <w:b/>
          <w:bCs/>
          <w:i/>
          <w:iCs/>
        </w:rPr>
        <w:t>Proposal</w:t>
      </w:r>
      <w:r w:rsidR="00E71D0D">
        <w:rPr>
          <w:b/>
          <w:bCs/>
          <w:i/>
          <w:iCs/>
        </w:rPr>
        <w:t xml:space="preserve"> 5</w:t>
      </w:r>
      <w:r w:rsidRPr="00F80375">
        <w:rPr>
          <w:b/>
          <w:bCs/>
          <w:i/>
          <w:iCs/>
        </w:rPr>
        <w:t>:</w:t>
      </w:r>
      <w:r>
        <w:t xml:space="preserve"> For TDCP phase quantization, support the following:</w:t>
      </w:r>
    </w:p>
    <w:p w14:paraId="12A19F12" w14:textId="469FCF80" w:rsidR="00F80375" w:rsidRPr="004B5710" w:rsidRDefault="00F80375" w:rsidP="00F80375">
      <w:pPr>
        <w:numPr>
          <w:ilvl w:val="0"/>
          <w:numId w:val="46"/>
        </w:numPr>
        <w:spacing w:after="0"/>
        <w:ind w:left="994"/>
        <w:contextualSpacing/>
        <w:rPr>
          <w:rFonts w:eastAsia="Times New Roman"/>
          <w:szCs w:val="28"/>
          <w:lang w:eastAsia="zh-CN"/>
        </w:rPr>
      </w:pPr>
      <w:r w:rsidRPr="00A1265A">
        <w:rPr>
          <w:rFonts w:ascii="Times" w:eastAsia="Malgun Gothic" w:hAnsi="Times"/>
          <w:color w:val="000000"/>
          <w:kern w:val="24"/>
          <w:szCs w:val="22"/>
          <w:lang w:val="en-GB" w:eastAsia="zh-CN"/>
        </w:rPr>
        <w:t>Alt3. 4-bit (16-PSK) uniform quantization (full reuse of Rel-16 eType-II W2 phase quantization)</w:t>
      </w:r>
    </w:p>
    <w:p w14:paraId="7BE84394" w14:textId="08EDFCEE" w:rsidR="004B5710" w:rsidRDefault="004B5710" w:rsidP="004B5710">
      <w:pPr>
        <w:spacing w:after="0"/>
        <w:contextualSpacing/>
        <w:rPr>
          <w:rFonts w:ascii="Times" w:eastAsia="Malgun Gothic" w:hAnsi="Times"/>
          <w:color w:val="000000"/>
          <w:kern w:val="24"/>
          <w:szCs w:val="22"/>
          <w:lang w:val="en-GB" w:eastAsia="zh-CN"/>
        </w:rPr>
      </w:pPr>
    </w:p>
    <w:p w14:paraId="6EE905CE" w14:textId="065A5EDE" w:rsidR="00920C82" w:rsidRDefault="00920C82" w:rsidP="00920C82">
      <w:pPr>
        <w:pStyle w:val="Heading3"/>
      </w:pPr>
      <w:r>
        <w:t>2.3.</w:t>
      </w:r>
      <w:r w:rsidR="005018D5">
        <w:t>4</w:t>
      </w:r>
      <w:r>
        <w:t xml:space="preserve"> Delay values</w:t>
      </w:r>
    </w:p>
    <w:p w14:paraId="3861EEFD" w14:textId="77777777" w:rsidR="005018D5" w:rsidRDefault="005018D5" w:rsidP="005018D5">
      <w:pPr>
        <w:spacing w:after="0"/>
        <w:contextualSpacing/>
        <w:rPr>
          <w:lang w:val="en-GB"/>
        </w:rPr>
      </w:pPr>
      <w:r w:rsidRPr="00E07099">
        <w:rPr>
          <w:lang w:val="en-GB"/>
        </w:rPr>
        <w:t>In RAN1 #112-bis-e, the following agreement</w:t>
      </w:r>
      <w:r>
        <w:rPr>
          <w:lang w:val="en-GB"/>
        </w:rPr>
        <w:t>s</w:t>
      </w:r>
      <w:r w:rsidRPr="00E07099">
        <w:rPr>
          <w:lang w:val="en-GB"/>
        </w:rPr>
        <w:t xml:space="preserve"> w</w:t>
      </w:r>
      <w:r>
        <w:rPr>
          <w:lang w:val="en-GB"/>
        </w:rPr>
        <w:t>ere</w:t>
      </w:r>
      <w:r w:rsidRPr="00E07099">
        <w:rPr>
          <w:lang w:val="en-GB"/>
        </w:rPr>
        <w:t xml:space="preserve"> made regarding TDCP reporting [2]:</w:t>
      </w:r>
    </w:p>
    <w:tbl>
      <w:tblPr>
        <w:tblStyle w:val="TableGrid"/>
        <w:tblW w:w="0" w:type="auto"/>
        <w:tblLook w:val="04A0" w:firstRow="1" w:lastRow="0" w:firstColumn="1" w:lastColumn="0" w:noHBand="0" w:noVBand="1"/>
      </w:tblPr>
      <w:tblGrid>
        <w:gridCol w:w="9631"/>
      </w:tblGrid>
      <w:tr w:rsidR="005018D5" w14:paraId="293525A8" w14:textId="77777777" w:rsidTr="005018D5">
        <w:tc>
          <w:tcPr>
            <w:tcW w:w="9631" w:type="dxa"/>
          </w:tcPr>
          <w:p w14:paraId="519D09D5" w14:textId="77777777" w:rsidR="005018D5" w:rsidRPr="005018D5" w:rsidRDefault="005018D5" w:rsidP="005018D5">
            <w:pPr>
              <w:spacing w:after="0"/>
              <w:rPr>
                <w:rFonts w:eastAsia="Times New Roman"/>
                <w:sz w:val="24"/>
                <w:szCs w:val="24"/>
                <w:lang w:eastAsia="zh-CN"/>
              </w:rPr>
            </w:pPr>
            <w:r w:rsidRPr="005018D5">
              <w:rPr>
                <w:rFonts w:ascii="Times" w:eastAsia="Times New Roman" w:hAnsi="Times" w:cs="Times"/>
                <w:b/>
                <w:bCs/>
                <w:color w:val="222222"/>
                <w:kern w:val="24"/>
                <w:sz w:val="21"/>
                <w:szCs w:val="21"/>
                <w:highlight w:val="green"/>
                <w:lang w:val="en-GB" w:eastAsia="zh-CN"/>
              </w:rPr>
              <w:t>Agreement</w:t>
            </w:r>
          </w:p>
          <w:p w14:paraId="108F18E8" w14:textId="77777777" w:rsidR="005018D5" w:rsidRPr="005018D5" w:rsidRDefault="005018D5" w:rsidP="005018D5">
            <w:pPr>
              <w:spacing w:after="0"/>
              <w:rPr>
                <w:rFonts w:eastAsia="Times New Roman"/>
                <w:sz w:val="24"/>
                <w:szCs w:val="24"/>
                <w:lang w:eastAsia="zh-CN"/>
              </w:rPr>
            </w:pPr>
            <w:r w:rsidRPr="005018D5">
              <w:rPr>
                <w:rFonts w:ascii="Times" w:eastAsia="Malgun Gothic" w:hAnsi="Times" w:cs="Times"/>
                <w:color w:val="000000"/>
                <w:kern w:val="24"/>
                <w:sz w:val="21"/>
                <w:szCs w:val="21"/>
                <w:lang w:val="en-GB" w:eastAsia="zh-CN"/>
              </w:rPr>
              <w:t>For the Rel-18 TRS-based TDCP reporting,</w:t>
            </w:r>
          </w:p>
          <w:p w14:paraId="5CBB3EAB" w14:textId="77777777" w:rsidR="005018D5" w:rsidRPr="005018D5" w:rsidRDefault="005018D5" w:rsidP="005018D5">
            <w:pPr>
              <w:numPr>
                <w:ilvl w:val="0"/>
                <w:numId w:val="49"/>
              </w:numPr>
              <w:spacing w:after="0"/>
              <w:ind w:left="1267"/>
              <w:contextualSpacing/>
              <w:rPr>
                <w:rFonts w:eastAsia="Times New Roman"/>
                <w:sz w:val="21"/>
                <w:szCs w:val="24"/>
                <w:lang w:eastAsia="zh-CN"/>
              </w:rPr>
            </w:pPr>
            <w:r w:rsidRPr="005018D5">
              <w:rPr>
                <w:rFonts w:ascii="Times" w:eastAsia="Malgun Gothic" w:hAnsi="Times" w:cs="Times"/>
                <w:color w:val="000000"/>
                <w:kern w:val="24"/>
                <w:sz w:val="21"/>
                <w:szCs w:val="21"/>
                <w:lang w:val="en-GB" w:eastAsia="zh-CN"/>
              </w:rPr>
              <w:t xml:space="preserve">Support the following D (delay) values: </w:t>
            </w:r>
            <w:r w:rsidRPr="005018D5">
              <w:rPr>
                <w:rFonts w:ascii="Times" w:eastAsia="Batang" w:hAnsi="Times" w:cs="Times"/>
                <w:color w:val="000000"/>
                <w:kern w:val="24"/>
                <w:sz w:val="21"/>
                <w:szCs w:val="21"/>
                <w:lang w:val="en-GB" w:eastAsia="zh-CN"/>
              </w:rPr>
              <w:t>4 symbols, 1 slot, 2 slots, 3 slots, 4 slots, 5 slots</w:t>
            </w:r>
          </w:p>
          <w:p w14:paraId="165FFD6A" w14:textId="77777777" w:rsidR="005018D5" w:rsidRPr="005018D5" w:rsidRDefault="005018D5" w:rsidP="005018D5">
            <w:pPr>
              <w:numPr>
                <w:ilvl w:val="0"/>
                <w:numId w:val="49"/>
              </w:numPr>
              <w:spacing w:after="0"/>
              <w:ind w:left="1267"/>
              <w:contextualSpacing/>
              <w:rPr>
                <w:rFonts w:eastAsia="Times New Roman"/>
                <w:sz w:val="21"/>
                <w:szCs w:val="24"/>
                <w:lang w:eastAsia="zh-CN"/>
              </w:rPr>
            </w:pPr>
            <w:r w:rsidRPr="005018D5">
              <w:rPr>
                <w:rFonts w:ascii="Times" w:eastAsia="Batang" w:hAnsi="Times" w:cs="Times"/>
                <w:b/>
                <w:bCs/>
                <w:color w:val="000000"/>
                <w:kern w:val="24"/>
                <w:sz w:val="21"/>
                <w:szCs w:val="21"/>
                <w:highlight w:val="darkYellow"/>
                <w:lang w:val="en-GB" w:eastAsia="zh-CN"/>
              </w:rPr>
              <w:t>Working assumption</w:t>
            </w:r>
            <w:r w:rsidRPr="005018D5">
              <w:rPr>
                <w:rFonts w:ascii="Times" w:eastAsia="Batang" w:hAnsi="Times" w:cs="Times"/>
                <w:color w:val="000000"/>
                <w:kern w:val="24"/>
                <w:sz w:val="21"/>
                <w:szCs w:val="21"/>
                <w:lang w:val="en-GB" w:eastAsia="zh-CN"/>
              </w:rPr>
              <w:t xml:space="preserve">: </w:t>
            </w:r>
            <w:r w:rsidRPr="005018D5">
              <w:rPr>
                <w:rFonts w:ascii="Times" w:eastAsia="Malgun Gothic" w:hAnsi="Times" w:cs="Times"/>
                <w:color w:val="000000"/>
                <w:kern w:val="24"/>
                <w:sz w:val="21"/>
                <w:szCs w:val="21"/>
                <w:lang w:val="en-GB" w:eastAsia="zh-CN"/>
              </w:rPr>
              <w:t>Support the following D (delay) values in a separate UE Feature Group: 6 slots, 10 slots</w:t>
            </w:r>
          </w:p>
          <w:p w14:paraId="7B89966F" w14:textId="77777777" w:rsidR="005018D5" w:rsidRPr="005018D5" w:rsidRDefault="005018D5" w:rsidP="005018D5">
            <w:pPr>
              <w:spacing w:after="0"/>
              <w:rPr>
                <w:rFonts w:eastAsia="Times New Roman"/>
                <w:sz w:val="24"/>
                <w:szCs w:val="24"/>
                <w:lang w:eastAsia="zh-CN"/>
              </w:rPr>
            </w:pPr>
            <w:r w:rsidRPr="005018D5">
              <w:rPr>
                <w:rFonts w:ascii="Times" w:eastAsia="Batang" w:hAnsi="Times" w:cs="Times"/>
                <w:color w:val="000000"/>
                <w:kern w:val="24"/>
                <w:sz w:val="21"/>
                <w:szCs w:val="21"/>
                <w:lang w:val="en-GB" w:eastAsia="zh-CN"/>
              </w:rPr>
              <w:t>FFS: The value of D</w:t>
            </w:r>
            <w:r w:rsidRPr="005018D5">
              <w:rPr>
                <w:rFonts w:ascii="Times" w:eastAsia="Batang" w:hAnsi="Times" w:cs="Times"/>
                <w:color w:val="000000"/>
                <w:kern w:val="24"/>
                <w:position w:val="-5"/>
                <w:sz w:val="21"/>
                <w:szCs w:val="21"/>
                <w:vertAlign w:val="subscript"/>
                <w:lang w:val="en-GB" w:eastAsia="zh-CN"/>
              </w:rPr>
              <w:t>basic</w:t>
            </w:r>
          </w:p>
          <w:p w14:paraId="49FDD084" w14:textId="16E21355" w:rsidR="005018D5" w:rsidRPr="005018D5" w:rsidRDefault="005018D5" w:rsidP="005018D5">
            <w:pPr>
              <w:spacing w:after="0"/>
              <w:rPr>
                <w:rFonts w:eastAsia="Times New Roman"/>
                <w:sz w:val="24"/>
                <w:szCs w:val="24"/>
                <w:lang w:eastAsia="zh-CN"/>
              </w:rPr>
            </w:pPr>
            <w:r w:rsidRPr="005018D5">
              <w:rPr>
                <w:rFonts w:ascii="Times" w:eastAsia="Batang" w:hAnsi="Times" w:cs="Times"/>
                <w:color w:val="000000"/>
                <w:kern w:val="24"/>
                <w:sz w:val="21"/>
                <w:szCs w:val="21"/>
                <w:lang w:val="en-GB" w:eastAsia="zh-CN"/>
              </w:rPr>
              <w:t>FFS: Applicability of each D value candidate for different SCS values and/or other parameters (e.g. Y, quantization)</w:t>
            </w:r>
          </w:p>
        </w:tc>
      </w:tr>
    </w:tbl>
    <w:p w14:paraId="03E47855" w14:textId="62E6EF1E" w:rsidR="00920C82" w:rsidRDefault="00920C82" w:rsidP="003A6576">
      <w:pPr>
        <w:spacing w:after="0"/>
        <w:contextualSpacing/>
        <w:rPr>
          <w:rFonts w:eastAsia="Times New Roman"/>
          <w:szCs w:val="28"/>
          <w:lang w:val="en-GB" w:eastAsia="zh-CN"/>
        </w:rPr>
      </w:pPr>
    </w:p>
    <w:p w14:paraId="489C466A" w14:textId="1FEC3AB1" w:rsidR="003A6576" w:rsidRDefault="005018D5" w:rsidP="003A6576">
      <w:pPr>
        <w:spacing w:after="0"/>
        <w:contextualSpacing/>
        <w:rPr>
          <w:rFonts w:eastAsia="Times New Roman"/>
          <w:szCs w:val="28"/>
          <w:lang w:eastAsia="zh-CN"/>
        </w:rPr>
      </w:pPr>
      <w:r>
        <w:rPr>
          <w:rFonts w:eastAsia="Times New Roman"/>
          <w:szCs w:val="28"/>
          <w:lang w:eastAsia="zh-CN"/>
        </w:rPr>
        <w:t>Due to previously mentioned reasons regarding the effect of aliasing on TDCP calculation (please refer to our previous contributions), we believe that delay values of 6 slots and 10 slots are not only not required, but may incur significant penalty for both aliasing effects and buffering requirements. Thus, we do not support the working assumption regarding support for delay values of 6 slots and 10 slots.</w:t>
      </w:r>
    </w:p>
    <w:p w14:paraId="44946B19" w14:textId="0CDD6CE9" w:rsidR="005018D5" w:rsidRDefault="005018D5" w:rsidP="003A6576">
      <w:pPr>
        <w:spacing w:after="0"/>
        <w:contextualSpacing/>
        <w:rPr>
          <w:rFonts w:eastAsia="Times New Roman"/>
          <w:szCs w:val="28"/>
          <w:lang w:eastAsia="zh-CN"/>
        </w:rPr>
      </w:pPr>
    </w:p>
    <w:p w14:paraId="25A7DD6B" w14:textId="32E8BC88" w:rsidR="005018D5" w:rsidRDefault="005018D5" w:rsidP="003A6576">
      <w:pPr>
        <w:spacing w:after="0"/>
        <w:contextualSpacing/>
        <w:rPr>
          <w:rFonts w:eastAsia="Times New Roman"/>
          <w:szCs w:val="28"/>
          <w:lang w:eastAsia="zh-CN"/>
        </w:rPr>
      </w:pPr>
      <w:r w:rsidRPr="005018D5">
        <w:rPr>
          <w:rFonts w:eastAsia="Times New Roman"/>
          <w:b/>
          <w:bCs/>
          <w:i/>
          <w:iCs/>
          <w:szCs w:val="28"/>
          <w:lang w:eastAsia="zh-CN"/>
        </w:rPr>
        <w:t>Proposal</w:t>
      </w:r>
      <w:r w:rsidR="00E71D0D">
        <w:rPr>
          <w:rFonts w:eastAsia="Times New Roman"/>
          <w:b/>
          <w:bCs/>
          <w:i/>
          <w:iCs/>
          <w:szCs w:val="28"/>
          <w:lang w:eastAsia="zh-CN"/>
        </w:rPr>
        <w:t xml:space="preserve"> 6</w:t>
      </w:r>
      <w:r>
        <w:rPr>
          <w:rFonts w:eastAsia="Times New Roman"/>
          <w:szCs w:val="28"/>
          <w:lang w:eastAsia="zh-CN"/>
        </w:rPr>
        <w:t xml:space="preserve">: Do not support the working assumption </w:t>
      </w:r>
      <w:r w:rsidR="001748C4">
        <w:rPr>
          <w:rFonts w:eastAsia="Times New Roman"/>
          <w:szCs w:val="28"/>
          <w:lang w:eastAsia="zh-CN"/>
        </w:rPr>
        <w:t xml:space="preserve">regarding </w:t>
      </w:r>
      <w:r w:rsidRPr="005018D5">
        <w:rPr>
          <w:rFonts w:ascii="Times" w:eastAsia="Malgun Gothic" w:hAnsi="Times" w:cs="Times"/>
          <w:color w:val="000000"/>
          <w:kern w:val="24"/>
          <w:sz w:val="21"/>
          <w:szCs w:val="21"/>
          <w:lang w:val="en-GB" w:eastAsia="zh-CN"/>
        </w:rPr>
        <w:t xml:space="preserve">D (delay) values </w:t>
      </w:r>
      <w:r w:rsidR="001748C4">
        <w:rPr>
          <w:rFonts w:ascii="Times" w:eastAsia="Malgun Gothic" w:hAnsi="Times" w:cs="Times"/>
          <w:color w:val="000000"/>
          <w:kern w:val="24"/>
          <w:sz w:val="21"/>
          <w:szCs w:val="21"/>
          <w:lang w:val="en-GB" w:eastAsia="zh-CN"/>
        </w:rPr>
        <w:t xml:space="preserve">of </w:t>
      </w:r>
      <w:r w:rsidRPr="005018D5">
        <w:rPr>
          <w:rFonts w:ascii="Times" w:eastAsia="Malgun Gothic" w:hAnsi="Times" w:cs="Times"/>
          <w:color w:val="000000"/>
          <w:kern w:val="24"/>
          <w:sz w:val="21"/>
          <w:szCs w:val="21"/>
          <w:lang w:val="en-GB" w:eastAsia="zh-CN"/>
        </w:rPr>
        <w:t>6 slots, 10 slots</w:t>
      </w:r>
      <w:r w:rsidR="001748C4">
        <w:rPr>
          <w:rFonts w:ascii="Times" w:eastAsia="Malgun Gothic" w:hAnsi="Times" w:cs="Times"/>
          <w:color w:val="000000"/>
          <w:kern w:val="24"/>
          <w:sz w:val="21"/>
          <w:szCs w:val="21"/>
          <w:lang w:val="en-GB" w:eastAsia="zh-CN"/>
        </w:rPr>
        <w:t>.</w:t>
      </w:r>
    </w:p>
    <w:p w14:paraId="56AA43C6" w14:textId="77777777" w:rsidR="005018D5" w:rsidRDefault="005018D5" w:rsidP="003A6576">
      <w:pPr>
        <w:spacing w:after="0"/>
        <w:contextualSpacing/>
        <w:rPr>
          <w:rFonts w:eastAsia="Times New Roman"/>
          <w:szCs w:val="28"/>
          <w:lang w:eastAsia="zh-CN"/>
        </w:rPr>
      </w:pPr>
    </w:p>
    <w:p w14:paraId="67749443" w14:textId="60252ECB" w:rsidR="005018D5" w:rsidRDefault="001748C4" w:rsidP="001748C4">
      <w:pPr>
        <w:spacing w:after="0"/>
        <w:contextualSpacing/>
        <w:rPr>
          <w:rFonts w:eastAsia="Times New Roman"/>
          <w:szCs w:val="28"/>
          <w:lang w:eastAsia="zh-CN"/>
        </w:rPr>
      </w:pPr>
      <w:r>
        <w:rPr>
          <w:rFonts w:eastAsia="Times New Roman"/>
          <w:szCs w:val="28"/>
          <w:lang w:eastAsia="zh-CN"/>
        </w:rPr>
        <w:t xml:space="preserve">Moreover, for the basic feature, we prefer to keep the TDCP calculations contained within a single TRS burst. Hence,  </w:t>
      </w:r>
      <m:oMath>
        <m:sSub>
          <m:sSubPr>
            <m:ctrlPr>
              <w:rPr>
                <w:rFonts w:ascii="Cambria Math" w:eastAsia="Times New Roman" w:hAnsi="Cambria Math"/>
                <w:i/>
                <w:szCs w:val="28"/>
                <w:lang w:eastAsia="zh-CN"/>
              </w:rPr>
            </m:ctrlPr>
          </m:sSubPr>
          <m:e>
            <m:r>
              <w:rPr>
                <w:rFonts w:ascii="Cambria Math" w:eastAsia="Times New Roman" w:hAnsi="Cambria Math"/>
                <w:szCs w:val="28"/>
                <w:lang w:eastAsia="zh-CN"/>
              </w:rPr>
              <m:t>D</m:t>
            </m:r>
          </m:e>
          <m:sub>
            <m:r>
              <w:rPr>
                <w:rFonts w:ascii="Cambria Math" w:eastAsia="Times New Roman" w:hAnsi="Cambria Math"/>
                <w:szCs w:val="28"/>
                <w:lang w:eastAsia="zh-CN"/>
              </w:rPr>
              <m:t>basic</m:t>
            </m:r>
          </m:sub>
        </m:sSub>
        <m:r>
          <w:rPr>
            <w:rFonts w:ascii="Cambria Math" w:eastAsia="Times New Roman" w:hAnsi="Cambria Math"/>
            <w:szCs w:val="28"/>
            <w:lang w:eastAsia="zh-CN"/>
          </w:rPr>
          <m:t>&lt;28</m:t>
        </m:r>
      </m:oMath>
      <w:r>
        <w:rPr>
          <w:rFonts w:eastAsia="Times New Roman"/>
          <w:szCs w:val="28"/>
          <w:lang w:eastAsia="zh-CN"/>
        </w:rPr>
        <w:t xml:space="preserve"> OFDM symbols</w:t>
      </w:r>
      <w:r w:rsidR="005018D5">
        <w:rPr>
          <w:rFonts w:eastAsia="Times New Roman"/>
          <w:szCs w:val="28"/>
          <w:lang w:eastAsia="zh-CN"/>
        </w:rPr>
        <w:t xml:space="preserve"> (</w:t>
      </w:r>
      <w:r>
        <w:rPr>
          <w:rFonts w:eastAsia="Times New Roman"/>
          <w:szCs w:val="28"/>
          <w:lang w:eastAsia="zh-CN"/>
        </w:rPr>
        <w:t xml:space="preserve">i.e., </w:t>
      </w:r>
      <w:r w:rsidR="005018D5">
        <w:rPr>
          <w:rFonts w:eastAsia="Times New Roman"/>
          <w:szCs w:val="28"/>
          <w:lang w:eastAsia="zh-CN"/>
        </w:rPr>
        <w:t>2 s</w:t>
      </w:r>
      <w:r>
        <w:rPr>
          <w:rFonts w:eastAsia="Times New Roman"/>
          <w:szCs w:val="28"/>
          <w:lang w:eastAsia="zh-CN"/>
        </w:rPr>
        <w:t>lots</w:t>
      </w:r>
      <w:r w:rsidR="005018D5">
        <w:rPr>
          <w:rFonts w:eastAsia="Times New Roman"/>
          <w:szCs w:val="28"/>
          <w:lang w:eastAsia="zh-CN"/>
        </w:rPr>
        <w:t>)</w:t>
      </w:r>
      <w:r>
        <w:rPr>
          <w:rFonts w:eastAsia="Times New Roman"/>
          <w:szCs w:val="28"/>
          <w:lang w:eastAsia="zh-CN"/>
        </w:rPr>
        <w:t xml:space="preserve"> is preferred. </w:t>
      </w:r>
    </w:p>
    <w:p w14:paraId="19B24B37" w14:textId="67FC46B5" w:rsidR="001748C4" w:rsidRDefault="001748C4" w:rsidP="001748C4">
      <w:pPr>
        <w:spacing w:after="0"/>
        <w:contextualSpacing/>
        <w:rPr>
          <w:rFonts w:eastAsia="Times New Roman"/>
          <w:szCs w:val="28"/>
          <w:lang w:eastAsia="zh-CN"/>
        </w:rPr>
      </w:pPr>
    </w:p>
    <w:p w14:paraId="543183C4" w14:textId="30EEAFF0" w:rsidR="001748C4" w:rsidRDefault="001748C4" w:rsidP="001748C4">
      <w:pPr>
        <w:spacing w:after="0"/>
        <w:contextualSpacing/>
        <w:rPr>
          <w:rFonts w:eastAsia="Times New Roman"/>
          <w:szCs w:val="28"/>
          <w:lang w:eastAsia="zh-CN"/>
        </w:rPr>
      </w:pPr>
      <w:r w:rsidRPr="001748C4">
        <w:rPr>
          <w:rFonts w:eastAsia="Times New Roman"/>
          <w:b/>
          <w:bCs/>
          <w:i/>
          <w:iCs/>
          <w:szCs w:val="28"/>
          <w:lang w:eastAsia="zh-CN"/>
        </w:rPr>
        <w:t>Observation</w:t>
      </w:r>
      <w:r w:rsidR="00E71D0D">
        <w:rPr>
          <w:rFonts w:eastAsia="Times New Roman"/>
          <w:b/>
          <w:bCs/>
          <w:i/>
          <w:iCs/>
          <w:szCs w:val="28"/>
          <w:lang w:eastAsia="zh-CN"/>
        </w:rPr>
        <w:t xml:space="preserve"> </w:t>
      </w:r>
      <w:r w:rsidR="007C32CE">
        <w:rPr>
          <w:rFonts w:eastAsia="Times New Roman"/>
          <w:b/>
          <w:bCs/>
          <w:i/>
          <w:iCs/>
          <w:szCs w:val="28"/>
          <w:lang w:eastAsia="zh-CN"/>
        </w:rPr>
        <w:t>6</w:t>
      </w:r>
      <w:r>
        <w:rPr>
          <w:rFonts w:eastAsia="Times New Roman"/>
          <w:szCs w:val="28"/>
          <w:lang w:eastAsia="zh-CN"/>
        </w:rPr>
        <w:t>: It is best to keep TDCP calculations for the basic TDCP feature contained within a single TRS burst.</w:t>
      </w:r>
    </w:p>
    <w:p w14:paraId="57C37FCE" w14:textId="0112EEAD" w:rsidR="003A6576" w:rsidRDefault="003A6576" w:rsidP="003A6576">
      <w:pPr>
        <w:spacing w:after="0"/>
        <w:contextualSpacing/>
        <w:rPr>
          <w:rFonts w:eastAsia="Times New Roman"/>
          <w:b/>
          <w:bCs/>
          <w:szCs w:val="28"/>
          <w:lang w:eastAsia="zh-CN"/>
        </w:rPr>
      </w:pPr>
    </w:p>
    <w:p w14:paraId="4E5B1520" w14:textId="1EC7D08A" w:rsidR="001748C4" w:rsidRDefault="001748C4" w:rsidP="003A6576">
      <w:pPr>
        <w:spacing w:after="0"/>
        <w:contextualSpacing/>
        <w:rPr>
          <w:rFonts w:eastAsia="Times New Roman"/>
          <w:szCs w:val="28"/>
          <w:lang w:eastAsia="zh-CN"/>
        </w:rPr>
      </w:pPr>
      <w:r w:rsidRPr="001748C4">
        <w:rPr>
          <w:rFonts w:eastAsia="Times New Roman"/>
          <w:b/>
          <w:bCs/>
          <w:i/>
          <w:iCs/>
          <w:szCs w:val="28"/>
          <w:lang w:eastAsia="zh-CN"/>
        </w:rPr>
        <w:t>Proposal</w:t>
      </w:r>
      <w:r w:rsidR="00E71D0D">
        <w:rPr>
          <w:rFonts w:eastAsia="Times New Roman"/>
          <w:b/>
          <w:bCs/>
          <w:i/>
          <w:iCs/>
          <w:szCs w:val="28"/>
          <w:lang w:eastAsia="zh-CN"/>
        </w:rPr>
        <w:t xml:space="preserve"> 7</w:t>
      </w:r>
      <w:r w:rsidRPr="001748C4">
        <w:rPr>
          <w:rFonts w:eastAsia="Times New Roman"/>
          <w:szCs w:val="28"/>
          <w:lang w:eastAsia="zh-CN"/>
        </w:rPr>
        <w:t>:</w:t>
      </w:r>
      <w:r>
        <w:rPr>
          <w:rFonts w:eastAsia="Times New Roman"/>
          <w:szCs w:val="28"/>
          <w:lang w:eastAsia="zh-CN"/>
        </w:rPr>
        <w:t xml:space="preserve"> Support </w:t>
      </w:r>
      <m:oMath>
        <m:sSub>
          <m:sSubPr>
            <m:ctrlPr>
              <w:rPr>
                <w:rFonts w:ascii="Cambria Math" w:eastAsia="Times New Roman" w:hAnsi="Cambria Math"/>
                <w:i/>
                <w:szCs w:val="28"/>
                <w:lang w:eastAsia="zh-CN"/>
              </w:rPr>
            </m:ctrlPr>
          </m:sSubPr>
          <m:e>
            <m:r>
              <w:rPr>
                <w:rFonts w:ascii="Cambria Math" w:eastAsia="Times New Roman" w:hAnsi="Cambria Math"/>
                <w:szCs w:val="28"/>
                <w:lang w:eastAsia="zh-CN"/>
              </w:rPr>
              <m:t>D</m:t>
            </m:r>
          </m:e>
          <m:sub>
            <m:r>
              <w:rPr>
                <w:rFonts w:ascii="Cambria Math" w:eastAsia="Times New Roman" w:hAnsi="Cambria Math"/>
                <w:szCs w:val="28"/>
                <w:lang w:eastAsia="zh-CN"/>
              </w:rPr>
              <m:t>basic</m:t>
            </m:r>
          </m:sub>
        </m:sSub>
        <m:r>
          <w:rPr>
            <w:rFonts w:ascii="Cambria Math" w:eastAsia="Times New Roman" w:hAnsi="Cambria Math"/>
            <w:szCs w:val="28"/>
            <w:lang w:eastAsia="zh-CN"/>
          </w:rPr>
          <m:t>&lt;28</m:t>
        </m:r>
      </m:oMath>
      <w:r>
        <w:rPr>
          <w:rFonts w:eastAsia="Times New Roman"/>
          <w:szCs w:val="28"/>
          <w:lang w:eastAsia="zh-CN"/>
        </w:rPr>
        <w:t xml:space="preserve"> OFDM symbols</w:t>
      </w:r>
      <w:r w:rsidR="00E71D0D">
        <w:rPr>
          <w:rFonts w:eastAsia="Times New Roman"/>
          <w:szCs w:val="28"/>
          <w:lang w:eastAsia="zh-CN"/>
        </w:rPr>
        <w:t>.</w:t>
      </w:r>
    </w:p>
    <w:p w14:paraId="2B9ED45E" w14:textId="0745EADA" w:rsidR="001748C4" w:rsidRDefault="001748C4" w:rsidP="003A6576">
      <w:pPr>
        <w:spacing w:after="0"/>
        <w:contextualSpacing/>
        <w:rPr>
          <w:rFonts w:eastAsia="Times New Roman"/>
          <w:szCs w:val="28"/>
          <w:lang w:eastAsia="zh-CN"/>
        </w:rPr>
      </w:pPr>
    </w:p>
    <w:p w14:paraId="1EC4B212" w14:textId="7112FD0F" w:rsidR="00920C82" w:rsidRDefault="00920C82" w:rsidP="00920C82">
      <w:pPr>
        <w:pStyle w:val="Heading3"/>
      </w:pPr>
      <w:r>
        <w:lastRenderedPageBreak/>
        <w:t>2.3.</w:t>
      </w:r>
      <w:r w:rsidR="005018D5">
        <w:t>5</w:t>
      </w:r>
      <w:r>
        <w:t xml:space="preserve"> Number of Coefficients (Y)</w:t>
      </w:r>
    </w:p>
    <w:p w14:paraId="701CDFDA" w14:textId="09DA9B16" w:rsidR="00920C82" w:rsidRDefault="00917D0B" w:rsidP="003A6576">
      <w:pPr>
        <w:spacing w:after="0"/>
        <w:contextualSpacing/>
        <w:rPr>
          <w:lang w:val="en-GB"/>
        </w:rPr>
      </w:pPr>
      <w:r w:rsidRPr="00E07099">
        <w:rPr>
          <w:lang w:val="en-GB"/>
        </w:rPr>
        <w:t>In RAN1 #112-bis-e, the following agreement</w:t>
      </w:r>
      <w:r>
        <w:rPr>
          <w:lang w:val="en-GB"/>
        </w:rPr>
        <w:t>s</w:t>
      </w:r>
      <w:r w:rsidRPr="00E07099">
        <w:rPr>
          <w:lang w:val="en-GB"/>
        </w:rPr>
        <w:t xml:space="preserve"> w</w:t>
      </w:r>
      <w:r>
        <w:rPr>
          <w:lang w:val="en-GB"/>
        </w:rPr>
        <w:t>ere</w:t>
      </w:r>
      <w:r w:rsidRPr="00E07099">
        <w:rPr>
          <w:lang w:val="en-GB"/>
        </w:rPr>
        <w:t xml:space="preserve"> made regarding TDCP reporting [2]:</w:t>
      </w:r>
    </w:p>
    <w:tbl>
      <w:tblPr>
        <w:tblStyle w:val="TableGrid"/>
        <w:tblW w:w="0" w:type="auto"/>
        <w:tblLook w:val="04A0" w:firstRow="1" w:lastRow="0" w:firstColumn="1" w:lastColumn="0" w:noHBand="0" w:noVBand="1"/>
      </w:tblPr>
      <w:tblGrid>
        <w:gridCol w:w="9631"/>
      </w:tblGrid>
      <w:tr w:rsidR="00917D0B" w14:paraId="7AFC6CC6" w14:textId="77777777" w:rsidTr="00917D0B">
        <w:tc>
          <w:tcPr>
            <w:tcW w:w="9631" w:type="dxa"/>
          </w:tcPr>
          <w:p w14:paraId="4C83C78E" w14:textId="77777777" w:rsidR="00917D0B" w:rsidRDefault="00917D0B" w:rsidP="00917D0B">
            <w:pPr>
              <w:pStyle w:val="NormalWeb"/>
              <w:spacing w:before="0" w:beforeAutospacing="0" w:after="0" w:afterAutospacing="0"/>
              <w:jc w:val="both"/>
            </w:pPr>
            <w:r>
              <w:rPr>
                <w:rFonts w:ascii="Times" w:hAnsi="Times" w:cs="Times"/>
                <w:b/>
                <w:bCs/>
                <w:color w:val="222222"/>
                <w:kern w:val="24"/>
                <w:sz w:val="21"/>
                <w:szCs w:val="21"/>
                <w:highlight w:val="green"/>
                <w:lang w:val="en-GB"/>
              </w:rPr>
              <w:t>Agreement</w:t>
            </w:r>
          </w:p>
          <w:p w14:paraId="768B80E1" w14:textId="77777777" w:rsidR="00917D0B" w:rsidRDefault="00917D0B" w:rsidP="00917D0B">
            <w:pPr>
              <w:pStyle w:val="NormalWeb"/>
              <w:spacing w:before="0" w:beforeAutospacing="0" w:after="0" w:afterAutospacing="0"/>
            </w:pPr>
            <w:r>
              <w:rPr>
                <w:rFonts w:ascii="Times" w:eastAsia="Malgun Gothic" w:hAnsi="Times" w:cs="+mn-cs"/>
                <w:color w:val="000000"/>
                <w:kern w:val="24"/>
                <w:sz w:val="21"/>
                <w:szCs w:val="21"/>
                <w:lang w:val="en-GB"/>
              </w:rPr>
              <w:t>For the Rel-18 TRS-based TDCP reporting, regarding the value of parameter Y for Y&gt;1, the value of Y is gNB-configured via higher-layer (RRC) signalling</w:t>
            </w:r>
          </w:p>
          <w:p w14:paraId="7CB3C476" w14:textId="77777777" w:rsidR="00917D0B" w:rsidRDefault="00917D0B" w:rsidP="003A6576">
            <w:pPr>
              <w:spacing w:after="0"/>
              <w:contextualSpacing/>
              <w:rPr>
                <w:rFonts w:eastAsia="Times New Roman"/>
                <w:szCs w:val="28"/>
                <w:lang w:eastAsia="zh-CN"/>
              </w:rPr>
            </w:pPr>
          </w:p>
          <w:p w14:paraId="38A9BB91" w14:textId="77777777" w:rsidR="00917D0B" w:rsidRDefault="00917D0B" w:rsidP="00917D0B">
            <w:pPr>
              <w:pStyle w:val="NormalWeb"/>
              <w:spacing w:before="0" w:beforeAutospacing="0" w:after="0" w:afterAutospacing="0"/>
            </w:pPr>
            <w:r>
              <w:rPr>
                <w:rFonts w:ascii="Times" w:hAnsi="Times" w:cs="Times"/>
                <w:b/>
                <w:bCs/>
                <w:color w:val="222222"/>
                <w:kern w:val="24"/>
                <w:sz w:val="21"/>
                <w:szCs w:val="21"/>
                <w:highlight w:val="green"/>
                <w:lang w:val="en-GB"/>
              </w:rPr>
              <w:t>Agreement</w:t>
            </w:r>
          </w:p>
          <w:p w14:paraId="628D8EAD" w14:textId="77777777" w:rsidR="00917D0B" w:rsidRDefault="00917D0B" w:rsidP="00917D0B">
            <w:pPr>
              <w:pStyle w:val="NormalWeb"/>
              <w:spacing w:before="0" w:beforeAutospacing="0" w:after="0" w:afterAutospacing="0"/>
            </w:pPr>
            <w:r>
              <w:rPr>
                <w:rFonts w:ascii="Times" w:eastAsia="Malgun Gothic" w:hAnsi="Times" w:cs="+mn-cs"/>
                <w:color w:val="000000"/>
                <w:kern w:val="24"/>
                <w:sz w:val="21"/>
                <w:szCs w:val="21"/>
                <w:lang w:val="en-GB"/>
              </w:rPr>
              <w:t>For the Rel-18 TRS-based TDCP reporting, regarding the value of parameter Y, in addition to Y=1, support Y=2, 3, 4</w:t>
            </w:r>
          </w:p>
          <w:p w14:paraId="1B21CE84" w14:textId="73C097A1" w:rsidR="00917D0B" w:rsidRPr="00917D0B" w:rsidRDefault="00917D0B" w:rsidP="00917D0B">
            <w:pPr>
              <w:pStyle w:val="NormalWeb"/>
              <w:spacing w:before="0" w:beforeAutospacing="0" w:after="0" w:afterAutospacing="0"/>
            </w:pPr>
            <w:r>
              <w:rPr>
                <w:rFonts w:ascii="Times" w:eastAsia="Malgun Gothic" w:hAnsi="Times" w:cs="+mn-cs"/>
                <w:color w:val="000000"/>
                <w:kern w:val="24"/>
                <w:sz w:val="21"/>
                <w:szCs w:val="21"/>
                <w:lang w:val="en-GB"/>
              </w:rPr>
              <w:t xml:space="preserve">FFS: Whether Y=7 is also supported </w:t>
            </w:r>
          </w:p>
        </w:tc>
      </w:tr>
    </w:tbl>
    <w:p w14:paraId="227C46D4" w14:textId="77777777" w:rsidR="00917D0B" w:rsidRPr="00920C82" w:rsidRDefault="00917D0B" w:rsidP="003A6576">
      <w:pPr>
        <w:spacing w:after="0"/>
        <w:contextualSpacing/>
        <w:rPr>
          <w:rFonts w:eastAsia="Times New Roman"/>
          <w:szCs w:val="28"/>
          <w:lang w:val="en-GB" w:eastAsia="zh-CN"/>
        </w:rPr>
      </w:pPr>
    </w:p>
    <w:p w14:paraId="783F3530" w14:textId="3E43F956" w:rsidR="00917D0B" w:rsidRDefault="00917D0B" w:rsidP="00917D0B">
      <w:pPr>
        <w:spacing w:after="0"/>
        <w:contextualSpacing/>
        <w:rPr>
          <w:rFonts w:eastAsia="Times New Roman"/>
          <w:szCs w:val="28"/>
          <w:lang w:eastAsia="zh-CN"/>
        </w:rPr>
      </w:pPr>
      <w:r>
        <w:rPr>
          <w:rFonts w:eastAsia="Times New Roman"/>
          <w:szCs w:val="28"/>
          <w:lang w:eastAsia="zh-CN"/>
        </w:rPr>
        <w:t xml:space="preserve">Even for an optional feature, </w:t>
      </w:r>
      <m:oMath>
        <m:r>
          <w:rPr>
            <w:rFonts w:ascii="Cambria Math" w:eastAsia="Times New Roman" w:hAnsi="Cambria Math"/>
            <w:szCs w:val="28"/>
            <w:lang w:eastAsia="zh-CN"/>
          </w:rPr>
          <m:t>Y=7</m:t>
        </m:r>
      </m:oMath>
      <w:r>
        <w:rPr>
          <w:rFonts w:eastAsia="Times New Roman"/>
          <w:szCs w:val="28"/>
          <w:lang w:eastAsia="zh-CN"/>
        </w:rPr>
        <w:t xml:space="preserve"> necessitates significant buffering capabilities on the UE side. Thus, we do not support the FFS part of the previous agreement. The previously agreed values for Y (i.e., 2, 3 and 4) are more than enough.</w:t>
      </w:r>
    </w:p>
    <w:p w14:paraId="09AFEED9" w14:textId="77777777" w:rsidR="00917D0B" w:rsidRDefault="00917D0B" w:rsidP="003A6576">
      <w:pPr>
        <w:spacing w:after="0"/>
        <w:contextualSpacing/>
        <w:rPr>
          <w:rFonts w:eastAsia="Times New Roman"/>
          <w:szCs w:val="28"/>
          <w:lang w:eastAsia="zh-CN"/>
        </w:rPr>
      </w:pPr>
    </w:p>
    <w:p w14:paraId="5DF5DC7C" w14:textId="6029C9E4" w:rsidR="003A6576" w:rsidRDefault="00917D0B" w:rsidP="00917D0B">
      <w:pPr>
        <w:spacing w:after="0"/>
        <w:contextualSpacing/>
        <w:rPr>
          <w:rFonts w:eastAsia="Times New Roman"/>
          <w:szCs w:val="28"/>
          <w:lang w:eastAsia="zh-CN"/>
        </w:rPr>
      </w:pPr>
      <w:r w:rsidRPr="00917D0B">
        <w:rPr>
          <w:rFonts w:eastAsia="Times New Roman"/>
          <w:b/>
          <w:bCs/>
          <w:i/>
          <w:iCs/>
          <w:szCs w:val="28"/>
          <w:lang w:eastAsia="zh-CN"/>
        </w:rPr>
        <w:t>Proposa</w:t>
      </w:r>
      <w:r w:rsidR="00E71D0D">
        <w:rPr>
          <w:rFonts w:eastAsia="Times New Roman"/>
          <w:b/>
          <w:bCs/>
          <w:i/>
          <w:iCs/>
          <w:szCs w:val="28"/>
          <w:lang w:eastAsia="zh-CN"/>
        </w:rPr>
        <w:t>l 8</w:t>
      </w:r>
      <w:r>
        <w:rPr>
          <w:rFonts w:eastAsia="Times New Roman"/>
          <w:szCs w:val="28"/>
          <w:lang w:eastAsia="zh-CN"/>
        </w:rPr>
        <w:t xml:space="preserve">: </w:t>
      </w:r>
      <w:r w:rsidR="00E71D0D">
        <w:rPr>
          <w:rFonts w:eastAsia="Times New Roman"/>
          <w:szCs w:val="28"/>
          <w:lang w:eastAsia="zh-CN"/>
        </w:rPr>
        <w:t>For R18 TDCP feature do not support</w:t>
      </w:r>
      <w:r>
        <w:rPr>
          <w:rFonts w:eastAsia="Times New Roman"/>
          <w:szCs w:val="28"/>
          <w:lang w:eastAsia="zh-CN"/>
        </w:rPr>
        <w:t xml:space="preserve"> </w:t>
      </w:r>
      <w:r w:rsidR="003A6576">
        <w:rPr>
          <w:rFonts w:eastAsia="Times New Roman"/>
          <w:szCs w:val="28"/>
          <w:lang w:eastAsia="zh-CN"/>
        </w:rPr>
        <w:t>Y=7</w:t>
      </w:r>
      <w:r>
        <w:rPr>
          <w:rFonts w:eastAsia="Times New Roman"/>
          <w:szCs w:val="28"/>
          <w:lang w:eastAsia="zh-CN"/>
        </w:rPr>
        <w:t>.</w:t>
      </w:r>
    </w:p>
    <w:p w14:paraId="580EA717" w14:textId="45C431FC" w:rsidR="003A6576" w:rsidRDefault="003A6576" w:rsidP="003A6576">
      <w:pPr>
        <w:spacing w:after="0"/>
        <w:contextualSpacing/>
        <w:rPr>
          <w:rFonts w:eastAsia="Times New Roman"/>
          <w:szCs w:val="28"/>
          <w:lang w:eastAsia="zh-CN"/>
        </w:rPr>
      </w:pPr>
    </w:p>
    <w:p w14:paraId="38662660" w14:textId="0312F5D8" w:rsidR="00920C82" w:rsidRDefault="00920C82" w:rsidP="00920C82">
      <w:pPr>
        <w:pStyle w:val="Heading3"/>
      </w:pPr>
      <w:r>
        <w:t>2.3.4 CSI Processing Units (CPU) rules</w:t>
      </w:r>
    </w:p>
    <w:p w14:paraId="160D15FE" w14:textId="688F6F97" w:rsidR="002D2605" w:rsidRDefault="002D2605" w:rsidP="003A6576">
      <w:pPr>
        <w:spacing w:after="0"/>
        <w:contextualSpacing/>
        <w:rPr>
          <w:rFonts w:eastAsia="Times New Roman"/>
          <w:szCs w:val="28"/>
          <w:lang w:eastAsia="zh-CN"/>
        </w:rPr>
      </w:pPr>
      <w:r>
        <w:rPr>
          <w:rFonts w:eastAsia="Times New Roman"/>
          <w:szCs w:val="28"/>
          <w:lang w:eastAsia="zh-CN"/>
        </w:rPr>
        <w:t>Due to the nature of TDCP calculation, as defined in earlier agreements, the computational complexity of TDCP scales linearly with the number of TDCP coefficients to be reported. This includes buffering CSI estimates at TRS locations, as well as the final calculation of the TDCO coefficients. As such, the CPUs allocated to TDCP report should scale linearly with the number of TRS bursts.</w:t>
      </w:r>
    </w:p>
    <w:p w14:paraId="61B8DD21" w14:textId="0C081CB3" w:rsidR="002D2605" w:rsidRDefault="002D2605" w:rsidP="003A6576">
      <w:pPr>
        <w:spacing w:after="0"/>
        <w:contextualSpacing/>
        <w:rPr>
          <w:rFonts w:eastAsia="Times New Roman"/>
          <w:szCs w:val="28"/>
          <w:lang w:eastAsia="zh-CN"/>
        </w:rPr>
      </w:pPr>
    </w:p>
    <w:p w14:paraId="2E41AD1C" w14:textId="6B92F2EF" w:rsidR="002D2605" w:rsidRDefault="002D2605" w:rsidP="003A6576">
      <w:pPr>
        <w:spacing w:after="0"/>
        <w:contextualSpacing/>
        <w:rPr>
          <w:rFonts w:eastAsia="Times New Roman"/>
          <w:szCs w:val="28"/>
          <w:lang w:eastAsia="zh-CN"/>
        </w:rPr>
      </w:pPr>
      <w:r w:rsidRPr="002D2605">
        <w:rPr>
          <w:rFonts w:eastAsia="Times New Roman"/>
          <w:b/>
          <w:bCs/>
          <w:i/>
          <w:iCs/>
          <w:szCs w:val="28"/>
          <w:lang w:eastAsia="zh-CN"/>
        </w:rPr>
        <w:t>Observation</w:t>
      </w:r>
      <w:r w:rsidR="00E71D0D">
        <w:rPr>
          <w:rFonts w:eastAsia="Times New Roman"/>
          <w:b/>
          <w:bCs/>
          <w:i/>
          <w:iCs/>
          <w:szCs w:val="28"/>
          <w:lang w:eastAsia="zh-CN"/>
        </w:rPr>
        <w:t xml:space="preserve"> </w:t>
      </w:r>
      <w:r w:rsidR="007C32CE">
        <w:rPr>
          <w:rFonts w:eastAsia="Times New Roman"/>
          <w:b/>
          <w:bCs/>
          <w:i/>
          <w:iCs/>
          <w:szCs w:val="28"/>
          <w:lang w:eastAsia="zh-CN"/>
        </w:rPr>
        <w:t>7</w:t>
      </w:r>
      <w:r>
        <w:rPr>
          <w:rFonts w:eastAsia="Times New Roman"/>
          <w:szCs w:val="28"/>
          <w:lang w:eastAsia="zh-CN"/>
        </w:rPr>
        <w:t xml:space="preserve">: The TDCP computational complexity scales linearly with the number of TRS bursts (also the number of TDCP coefficients </w:t>
      </w:r>
      <m:oMath>
        <m:r>
          <w:rPr>
            <w:rFonts w:ascii="Cambria Math" w:eastAsia="Times New Roman" w:hAnsi="Cambria Math"/>
            <w:szCs w:val="28"/>
            <w:lang w:eastAsia="zh-CN"/>
          </w:rPr>
          <m:t>Y</m:t>
        </m:r>
      </m:oMath>
      <w:r>
        <w:rPr>
          <w:rFonts w:eastAsia="Times New Roman"/>
          <w:szCs w:val="28"/>
          <w:lang w:eastAsia="zh-CN"/>
        </w:rPr>
        <w:t>).</w:t>
      </w:r>
    </w:p>
    <w:p w14:paraId="07895DDA" w14:textId="77777777" w:rsidR="002D2605" w:rsidRDefault="002D2605" w:rsidP="003A6576">
      <w:pPr>
        <w:spacing w:after="0"/>
        <w:contextualSpacing/>
        <w:rPr>
          <w:rFonts w:eastAsia="Times New Roman"/>
          <w:b/>
          <w:bCs/>
          <w:i/>
          <w:iCs/>
          <w:szCs w:val="28"/>
          <w:lang w:eastAsia="zh-CN"/>
        </w:rPr>
      </w:pPr>
    </w:p>
    <w:p w14:paraId="0E480AB3" w14:textId="0331D423" w:rsidR="002D2605" w:rsidRDefault="002D2605" w:rsidP="003A6576">
      <w:pPr>
        <w:spacing w:after="0"/>
        <w:contextualSpacing/>
        <w:rPr>
          <w:rFonts w:eastAsia="Times New Roman"/>
          <w:szCs w:val="28"/>
          <w:lang w:eastAsia="zh-CN"/>
        </w:rPr>
      </w:pPr>
      <w:r w:rsidRPr="002D2605">
        <w:rPr>
          <w:rFonts w:eastAsia="Times New Roman"/>
          <w:b/>
          <w:bCs/>
          <w:i/>
          <w:iCs/>
          <w:szCs w:val="28"/>
          <w:lang w:eastAsia="zh-CN"/>
        </w:rPr>
        <w:t>Proposal</w:t>
      </w:r>
      <w:r w:rsidR="00E71D0D">
        <w:rPr>
          <w:rFonts w:eastAsia="Times New Roman"/>
          <w:b/>
          <w:bCs/>
          <w:i/>
          <w:iCs/>
          <w:szCs w:val="28"/>
          <w:lang w:eastAsia="zh-CN"/>
        </w:rPr>
        <w:t xml:space="preserve"> 9</w:t>
      </w:r>
      <w:r>
        <w:rPr>
          <w:rFonts w:eastAsia="Times New Roman"/>
          <w:szCs w:val="28"/>
          <w:lang w:eastAsia="zh-CN"/>
        </w:rPr>
        <w:t xml:space="preserve">: For TDCP, the number of CPU units allocated to TDCP reporting is given by: </w:t>
      </w:r>
      <m:oMath>
        <m:sSub>
          <m:sSubPr>
            <m:ctrlPr>
              <w:rPr>
                <w:rFonts w:ascii="Cambria Math" w:eastAsia="Times New Roman" w:hAnsi="Cambria Math"/>
                <w:i/>
                <w:szCs w:val="28"/>
                <w:lang w:eastAsia="zh-CN"/>
              </w:rPr>
            </m:ctrlPr>
          </m:sSubPr>
          <m:e>
            <m:r>
              <w:rPr>
                <w:rFonts w:ascii="Cambria Math" w:eastAsia="Times New Roman" w:hAnsi="Cambria Math"/>
                <w:szCs w:val="28"/>
                <w:lang w:eastAsia="zh-CN"/>
              </w:rPr>
              <m:t>N</m:t>
            </m:r>
          </m:e>
          <m:sub>
            <m:r>
              <w:rPr>
                <w:rFonts w:ascii="Cambria Math" w:eastAsia="Times New Roman" w:hAnsi="Cambria Math"/>
                <w:szCs w:val="28"/>
                <w:lang w:eastAsia="zh-CN"/>
              </w:rPr>
              <m:t>CPU</m:t>
            </m:r>
          </m:sub>
        </m:sSub>
        <m:r>
          <w:rPr>
            <w:rFonts w:ascii="Cambria Math" w:eastAsia="Times New Roman" w:hAnsi="Cambria Math"/>
            <w:szCs w:val="28"/>
            <w:lang w:eastAsia="zh-CN"/>
          </w:rPr>
          <m:t xml:space="preserve">= </m:t>
        </m:r>
      </m:oMath>
      <w:r>
        <w:rPr>
          <w:rFonts w:eastAsia="Times New Roman"/>
          <w:szCs w:val="28"/>
          <w:lang w:eastAsia="zh-CN"/>
        </w:rPr>
        <w:t xml:space="preserve"> #TRS </w:t>
      </w:r>
      <w:r w:rsidR="003B6799">
        <w:rPr>
          <w:rFonts w:eastAsia="Times New Roman"/>
          <w:szCs w:val="28"/>
          <w:lang w:eastAsia="zh-CN"/>
        </w:rPr>
        <w:t xml:space="preserve">bursts = </w:t>
      </w:r>
      <w:r>
        <w:rPr>
          <w:rFonts w:eastAsia="Times New Roman"/>
          <w:szCs w:val="28"/>
          <w:lang w:eastAsia="zh-CN"/>
        </w:rPr>
        <w:t>(</w:t>
      </w:r>
      <m:oMath>
        <m:r>
          <w:rPr>
            <w:rFonts w:ascii="Cambria Math" w:eastAsia="Times New Roman" w:hAnsi="Cambria Math"/>
            <w:szCs w:val="28"/>
            <w:lang w:eastAsia="zh-CN"/>
          </w:rPr>
          <m:t xml:space="preserve"> Y+1)×X</m:t>
        </m:r>
      </m:oMath>
      <w:r>
        <w:rPr>
          <w:rFonts w:eastAsia="Times New Roman"/>
          <w:szCs w:val="28"/>
          <w:lang w:eastAsia="zh-CN"/>
        </w:rPr>
        <w:t xml:space="preserve">, where </w:t>
      </w:r>
      <m:oMath>
        <m:r>
          <w:rPr>
            <w:rFonts w:ascii="Cambria Math" w:eastAsia="Times New Roman" w:hAnsi="Cambria Math"/>
            <w:szCs w:val="28"/>
            <w:lang w:eastAsia="zh-CN"/>
          </w:rPr>
          <m:t>X</m:t>
        </m:r>
      </m:oMath>
      <w:r>
        <w:rPr>
          <w:rFonts w:eastAsia="Times New Roman"/>
          <w:szCs w:val="28"/>
          <w:lang w:eastAsia="zh-CN"/>
        </w:rPr>
        <w:t xml:space="preserve"> is a UE capability.</w:t>
      </w:r>
    </w:p>
    <w:p w14:paraId="6D9A76B7" w14:textId="77777777" w:rsidR="003A6576" w:rsidRPr="00A1265A" w:rsidRDefault="003A6576" w:rsidP="003A6576">
      <w:pPr>
        <w:spacing w:after="0"/>
        <w:contextualSpacing/>
        <w:rPr>
          <w:rFonts w:eastAsia="Times New Roman"/>
          <w:szCs w:val="28"/>
          <w:lang w:eastAsia="zh-CN"/>
        </w:rPr>
      </w:pPr>
    </w:p>
    <w:p w14:paraId="66C173F1" w14:textId="24AEE88F" w:rsidR="005E7440" w:rsidRPr="005E7440" w:rsidRDefault="00EF53BA" w:rsidP="00592E0A">
      <w:pPr>
        <w:pStyle w:val="Heading1"/>
        <w:numPr>
          <w:ilvl w:val="0"/>
          <w:numId w:val="1"/>
        </w:numPr>
        <w:ind w:left="357" w:hanging="357"/>
        <w:jc w:val="both"/>
        <w:rPr>
          <w:rFonts w:eastAsia="MS Mincho" w:cs="Arial"/>
          <w:b/>
          <w:sz w:val="28"/>
          <w:szCs w:val="28"/>
          <w:lang w:val="en-US"/>
        </w:rPr>
      </w:pPr>
      <w:r w:rsidRPr="00EF53BA">
        <w:rPr>
          <w:rFonts w:eastAsia="MS Mincho" w:cs="Arial"/>
          <w:b/>
          <w:sz w:val="32"/>
          <w:szCs w:val="32"/>
          <w:lang w:val="en-US"/>
        </w:rPr>
        <w:t>CSI enhancement for</w:t>
      </w:r>
      <w:r>
        <w:rPr>
          <w:rFonts w:eastAsia="MS Mincho" w:cs="Arial"/>
          <w:b/>
          <w:sz w:val="32"/>
          <w:szCs w:val="32"/>
          <w:lang w:val="en-US"/>
        </w:rPr>
        <w:t xml:space="preserve"> coherent JT</w:t>
      </w:r>
    </w:p>
    <w:p w14:paraId="1900C886" w14:textId="26DC0023" w:rsidR="008F305C" w:rsidRPr="000974BC" w:rsidRDefault="008F305C" w:rsidP="008F305C">
      <w:pPr>
        <w:spacing w:after="160" w:line="259" w:lineRule="auto"/>
        <w:jc w:val="both"/>
        <w:rPr>
          <w:rFonts w:eastAsia="SimSun"/>
          <w:szCs w:val="22"/>
          <w:lang w:eastAsia="zh-CN"/>
        </w:rPr>
      </w:pPr>
      <w:r>
        <w:rPr>
          <w:rFonts w:eastAsia="SimSun"/>
          <w:szCs w:val="22"/>
          <w:lang w:eastAsia="zh-CN"/>
        </w:rPr>
        <w:t>In this section, we continue the discussion on CSI enhancements for mTRP CJT</w:t>
      </w:r>
      <w:r w:rsidR="00587EBD">
        <w:rPr>
          <w:rFonts w:eastAsia="SimSun"/>
          <w:szCs w:val="22"/>
          <w:lang w:eastAsia="zh-CN"/>
        </w:rPr>
        <w:t>.</w:t>
      </w:r>
    </w:p>
    <w:p w14:paraId="4E198CED" w14:textId="09179ABE" w:rsidR="008F305C" w:rsidRDefault="00F02BCB" w:rsidP="00F4114D">
      <w:pPr>
        <w:pStyle w:val="Heading2"/>
        <w:numPr>
          <w:ilvl w:val="0"/>
          <w:numId w:val="10"/>
        </w:numPr>
        <w:ind w:left="709" w:hanging="709"/>
        <w:rPr>
          <w:sz w:val="28"/>
        </w:rPr>
      </w:pPr>
      <w:r>
        <w:rPr>
          <w:sz w:val="28"/>
        </w:rPr>
        <w:t>Details on CSI-RS measurement and calculation</w:t>
      </w:r>
    </w:p>
    <w:p w14:paraId="45404E8B" w14:textId="6E566C68" w:rsidR="008F305C" w:rsidRDefault="008F305C" w:rsidP="008F305C">
      <w:pPr>
        <w:jc w:val="both"/>
        <w:rPr>
          <w:lang w:val="en-GB"/>
        </w:rPr>
      </w:pPr>
      <w:r>
        <w:rPr>
          <w:rFonts w:eastAsia="SimSun"/>
          <w:szCs w:val="22"/>
          <w:lang w:eastAsia="zh-CN"/>
        </w:rPr>
        <w:t>In RAN1#11</w:t>
      </w:r>
      <w:r w:rsidR="00EF7011">
        <w:rPr>
          <w:rFonts w:eastAsia="SimSun"/>
          <w:szCs w:val="22"/>
          <w:lang w:eastAsia="zh-CN"/>
        </w:rPr>
        <w:t>2</w:t>
      </w:r>
      <w:r w:rsidR="00F02BCB">
        <w:rPr>
          <w:rFonts w:eastAsia="SimSun"/>
          <w:szCs w:val="22"/>
          <w:lang w:eastAsia="zh-CN"/>
        </w:rPr>
        <w:t>-bis</w:t>
      </w:r>
      <w:r w:rsidR="00172C0E">
        <w:rPr>
          <w:rFonts w:eastAsia="SimSun"/>
          <w:szCs w:val="22"/>
          <w:lang w:eastAsia="zh-CN"/>
        </w:rPr>
        <w:t xml:space="preserve"> meeting</w:t>
      </w:r>
      <w:r w:rsidRPr="006E5378">
        <w:rPr>
          <w:rFonts w:eastAsia="SimSun"/>
          <w:szCs w:val="22"/>
          <w:lang w:eastAsia="zh-CN"/>
        </w:rPr>
        <w:t>, the following agreement w</w:t>
      </w:r>
      <w:r w:rsidR="00C23A19">
        <w:rPr>
          <w:rFonts w:eastAsia="SimSun"/>
          <w:szCs w:val="22"/>
          <w:lang w:eastAsia="zh-CN"/>
        </w:rPr>
        <w:t>as</w:t>
      </w:r>
      <w:r w:rsidRPr="006E5378">
        <w:rPr>
          <w:rFonts w:eastAsia="SimSun"/>
          <w:szCs w:val="22"/>
          <w:lang w:eastAsia="zh-CN"/>
        </w:rPr>
        <w:t xml:space="preserve"> </w:t>
      </w:r>
      <w:r w:rsidR="00C23A19">
        <w:rPr>
          <w:rFonts w:eastAsia="SimSun"/>
          <w:szCs w:val="22"/>
          <w:lang w:eastAsia="zh-CN"/>
        </w:rPr>
        <w:t>reached</w:t>
      </w:r>
      <w:r w:rsidRPr="006E5378">
        <w:rPr>
          <w:rFonts w:eastAsia="SimSun"/>
          <w:szCs w:val="22"/>
          <w:lang w:eastAsia="zh-CN"/>
        </w:rPr>
        <w:t xml:space="preserve"> </w:t>
      </w:r>
      <w:r>
        <w:rPr>
          <w:rFonts w:eastAsia="SimSun"/>
          <w:szCs w:val="22"/>
          <w:lang w:eastAsia="zh-CN"/>
        </w:rPr>
        <w:fldChar w:fldCharType="begin"/>
      </w:r>
      <w:r>
        <w:rPr>
          <w:rFonts w:eastAsia="SimSun"/>
          <w:szCs w:val="22"/>
          <w:lang w:eastAsia="zh-CN"/>
        </w:rPr>
        <w:instrText xml:space="preserve"> REF _Ref117178204 \r \h </w:instrText>
      </w:r>
      <w:r>
        <w:rPr>
          <w:rFonts w:eastAsia="SimSun"/>
          <w:szCs w:val="22"/>
          <w:lang w:eastAsia="zh-CN"/>
        </w:rPr>
      </w:r>
      <w:r>
        <w:rPr>
          <w:rFonts w:eastAsia="SimSun"/>
          <w:szCs w:val="22"/>
          <w:lang w:eastAsia="zh-CN"/>
        </w:rPr>
        <w:fldChar w:fldCharType="separate"/>
      </w:r>
      <w:r>
        <w:rPr>
          <w:rFonts w:eastAsia="SimSun"/>
          <w:szCs w:val="22"/>
          <w:lang w:eastAsia="zh-CN"/>
        </w:rPr>
        <w:t>[</w:t>
      </w:r>
      <w:r w:rsidR="00EF7011">
        <w:rPr>
          <w:rFonts w:eastAsia="SimSun"/>
          <w:szCs w:val="22"/>
          <w:lang w:eastAsia="zh-CN"/>
        </w:rPr>
        <w:t>2</w:t>
      </w:r>
      <w:r>
        <w:rPr>
          <w:rFonts w:eastAsia="SimSun"/>
          <w:szCs w:val="22"/>
          <w:lang w:eastAsia="zh-CN"/>
        </w:rPr>
        <w:t>]</w:t>
      </w:r>
      <w:r>
        <w:rPr>
          <w:rFonts w:eastAsia="SimSun"/>
          <w:szCs w:val="22"/>
          <w:lang w:eastAsia="zh-CN"/>
        </w:rPr>
        <w:fldChar w:fldCharType="end"/>
      </w:r>
      <w:r>
        <w:rPr>
          <w:rFonts w:eastAsia="SimSun"/>
          <w:szCs w:val="22"/>
          <w:lang w:eastAsia="zh-CN"/>
        </w:rPr>
        <w:t>:</w:t>
      </w:r>
    </w:p>
    <w:tbl>
      <w:tblPr>
        <w:tblStyle w:val="TableGrid"/>
        <w:tblW w:w="0" w:type="auto"/>
        <w:tblLook w:val="04A0" w:firstRow="1" w:lastRow="0" w:firstColumn="1" w:lastColumn="0" w:noHBand="0" w:noVBand="1"/>
      </w:tblPr>
      <w:tblGrid>
        <w:gridCol w:w="9631"/>
      </w:tblGrid>
      <w:tr w:rsidR="008F305C" w14:paraId="1D8DF0FB" w14:textId="77777777" w:rsidTr="00A70658">
        <w:tc>
          <w:tcPr>
            <w:tcW w:w="9631" w:type="dxa"/>
          </w:tcPr>
          <w:p w14:paraId="0C78B48C" w14:textId="77777777" w:rsidR="006359B5" w:rsidRDefault="006359B5" w:rsidP="006359B5">
            <w:pPr>
              <w:rPr>
                <w:b/>
                <w:bCs/>
                <w:sz w:val="20"/>
                <w:highlight w:val="green"/>
                <w:lang w:val="en-CA" w:eastAsia="x-none"/>
              </w:rPr>
            </w:pPr>
            <w:bookmarkStart w:id="2" w:name="_Hlk126859319"/>
            <w:r>
              <w:rPr>
                <w:b/>
                <w:bCs/>
                <w:highlight w:val="green"/>
                <w:lang w:val="en-CA" w:eastAsia="x-none"/>
              </w:rPr>
              <w:t>Agreement</w:t>
            </w:r>
          </w:p>
          <w:p w14:paraId="6654E41B" w14:textId="77777777" w:rsidR="00064DEA" w:rsidRDefault="00064DEA" w:rsidP="00064DEA">
            <w:pPr>
              <w:snapToGrid w:val="0"/>
              <w:rPr>
                <w:rFonts w:cs="Times"/>
                <w:sz w:val="20"/>
              </w:rPr>
            </w:pPr>
            <w:r>
              <w:rPr>
                <w:rFonts w:cs="Times"/>
              </w:rPr>
              <w:t xml:space="preserve">For the Rel-18 Type-II codebook refinement for CJT mTRP, regarding CSI calculation and measurement, </w:t>
            </w:r>
          </w:p>
          <w:p w14:paraId="61BFCC27" w14:textId="77777777" w:rsidR="00064DEA" w:rsidRDefault="00064DEA" w:rsidP="00064DEA">
            <w:pPr>
              <w:pStyle w:val="ListParagraph"/>
              <w:numPr>
                <w:ilvl w:val="0"/>
                <w:numId w:val="37"/>
              </w:numPr>
              <w:snapToGrid w:val="0"/>
              <w:spacing w:after="0"/>
              <w:rPr>
                <w:rFonts w:cs="Times"/>
              </w:rPr>
            </w:pPr>
            <w:r>
              <w:rPr>
                <w:rFonts w:cs="Times"/>
              </w:rPr>
              <w:t xml:space="preserve">For the configured </w:t>
            </w:r>
            <w:r>
              <w:rPr>
                <w:rFonts w:cs="Times"/>
                <w:i/>
                <w:iCs/>
              </w:rPr>
              <w:t>N</w:t>
            </w:r>
            <w:r>
              <w:rPr>
                <w:rFonts w:cs="Times"/>
                <w:i/>
                <w:iCs/>
                <w:vertAlign w:val="subscript"/>
              </w:rPr>
              <w:t>TRP</w:t>
            </w:r>
            <w:r>
              <w:rPr>
                <w:rFonts w:cs="Times"/>
              </w:rPr>
              <w:t xml:space="preserve"> CSI-RS resources comprising the CMR, the restriction specified for Rel-17 NCJT CSI is fully reused, i.e. the configured </w:t>
            </w:r>
            <w:r>
              <w:rPr>
                <w:rFonts w:cs="Times"/>
                <w:i/>
                <w:iCs/>
              </w:rPr>
              <w:t>N</w:t>
            </w:r>
            <w:r>
              <w:rPr>
                <w:rFonts w:cs="Times"/>
                <w:i/>
                <w:iCs/>
                <w:vertAlign w:val="subscript"/>
              </w:rPr>
              <w:t>TRP</w:t>
            </w:r>
            <w:r>
              <w:rPr>
                <w:rFonts w:cs="Times"/>
              </w:rPr>
              <w:t xml:space="preserve"> CSI-RS resources are located either in the same slot or </w:t>
            </w:r>
            <w:r>
              <w:rPr>
                <w:rFonts w:cs="Times"/>
                <w:color w:val="FF0000"/>
              </w:rPr>
              <w:t xml:space="preserve">two </w:t>
            </w:r>
            <w:r>
              <w:rPr>
                <w:rFonts w:cs="Times"/>
              </w:rPr>
              <w:t>consecutive slots</w:t>
            </w:r>
          </w:p>
          <w:p w14:paraId="1607E709" w14:textId="77777777" w:rsidR="00064DEA" w:rsidRDefault="00064DEA" w:rsidP="00064DEA">
            <w:pPr>
              <w:pStyle w:val="ListParagraph"/>
              <w:numPr>
                <w:ilvl w:val="0"/>
                <w:numId w:val="37"/>
              </w:numPr>
              <w:snapToGrid w:val="0"/>
              <w:spacing w:after="0"/>
              <w:rPr>
                <w:rFonts w:cs="Times"/>
              </w:rPr>
            </w:pPr>
            <w:r>
              <w:rPr>
                <w:rFonts w:cs="Times"/>
              </w:rPr>
              <w:t xml:space="preserve">On PDSCH EPRE assumption for CQI calculation, down-select between the two alternatives: </w:t>
            </w:r>
          </w:p>
          <w:p w14:paraId="48370934" w14:textId="77777777" w:rsidR="00064DEA" w:rsidRDefault="00064DEA" w:rsidP="00064DEA">
            <w:pPr>
              <w:pStyle w:val="ListParagraph"/>
              <w:numPr>
                <w:ilvl w:val="1"/>
                <w:numId w:val="37"/>
              </w:numPr>
              <w:snapToGrid w:val="0"/>
              <w:spacing w:after="0"/>
              <w:rPr>
                <w:rFonts w:cs="Times"/>
              </w:rPr>
            </w:pPr>
            <w:r>
              <w:rPr>
                <w:rFonts w:cs="Times"/>
              </w:rPr>
              <w:t xml:space="preserve">Alt1. The UE can assume that the PDSCH EPRE for a given CSI-RS port follows the configured </w:t>
            </w:r>
            <w:r>
              <w:rPr>
                <w:rFonts w:cs="Times"/>
                <w:i/>
                <w:iCs/>
                <w:lang w:eastAsia="zh-CN"/>
              </w:rPr>
              <w:t>powerControlOffset</w:t>
            </w:r>
            <w:r>
              <w:rPr>
                <w:rFonts w:cs="Times"/>
                <w:lang w:eastAsia="zh-CN"/>
              </w:rPr>
              <w:t xml:space="preserve"> value associated with its respective CSI-RS resource</w:t>
            </w:r>
          </w:p>
          <w:p w14:paraId="0268EDEE" w14:textId="77777777" w:rsidR="00064DEA" w:rsidRDefault="00064DEA" w:rsidP="00064DEA">
            <w:pPr>
              <w:pStyle w:val="ListParagraph"/>
              <w:numPr>
                <w:ilvl w:val="1"/>
                <w:numId w:val="37"/>
              </w:numPr>
              <w:snapToGrid w:val="0"/>
              <w:spacing w:after="0"/>
              <w:rPr>
                <w:rFonts w:cs="Times"/>
              </w:rPr>
            </w:pPr>
            <w:r>
              <w:rPr>
                <w:rFonts w:cs="Times"/>
              </w:rPr>
              <w:t xml:space="preserve">Alt2. The UE can assume that the PDSCH EPRE for a given CSI-RS port follows a commonly configured </w:t>
            </w:r>
            <w:r>
              <w:rPr>
                <w:rFonts w:cs="Times"/>
                <w:i/>
                <w:iCs/>
                <w:lang w:eastAsia="zh-CN"/>
              </w:rPr>
              <w:t>powerControlOffset</w:t>
            </w:r>
            <w:r>
              <w:rPr>
                <w:rFonts w:cs="Times"/>
                <w:lang w:eastAsia="zh-CN"/>
              </w:rPr>
              <w:t xml:space="preserve"> value for all the </w:t>
            </w:r>
            <w:r>
              <w:rPr>
                <w:rFonts w:cs="Times"/>
                <w:i/>
                <w:iCs/>
                <w:lang w:eastAsia="zh-CN"/>
              </w:rPr>
              <w:t>N</w:t>
            </w:r>
            <w:r>
              <w:rPr>
                <w:rFonts w:cs="Times"/>
                <w:lang w:eastAsia="zh-CN"/>
              </w:rPr>
              <w:t xml:space="preserve"> selected CSI-RS resources</w:t>
            </w:r>
          </w:p>
          <w:p w14:paraId="0E7C755E" w14:textId="77777777" w:rsidR="00064DEA" w:rsidRDefault="00064DEA" w:rsidP="00064DEA">
            <w:pPr>
              <w:pStyle w:val="ListParagraph"/>
              <w:numPr>
                <w:ilvl w:val="1"/>
                <w:numId w:val="37"/>
              </w:numPr>
              <w:snapToGrid w:val="0"/>
              <w:spacing w:after="0"/>
              <w:rPr>
                <w:rFonts w:cs="Times"/>
              </w:rPr>
            </w:pPr>
            <w:r>
              <w:rPr>
                <w:rFonts w:cs="Times"/>
              </w:rPr>
              <w:t xml:space="preserve">Alt3. The UE can assume that the PDSCH EPRE for a given CSI-RS port follows a commonly configured </w:t>
            </w:r>
            <w:r>
              <w:rPr>
                <w:rFonts w:cs="Times"/>
                <w:i/>
                <w:iCs/>
                <w:lang w:eastAsia="zh-CN"/>
              </w:rPr>
              <w:t>powerControlOffset</w:t>
            </w:r>
            <w:r>
              <w:rPr>
                <w:rFonts w:cs="Times"/>
                <w:lang w:eastAsia="zh-CN"/>
              </w:rPr>
              <w:t xml:space="preserve"> value defined as averagePDSCH-to-averageCSIRS EPRE ratio, where averagePDSCH and averageCSIRS are average power across for all the </w:t>
            </w:r>
            <w:r>
              <w:rPr>
                <w:rFonts w:cs="Times"/>
                <w:i/>
                <w:iCs/>
                <w:lang w:eastAsia="zh-CN"/>
              </w:rPr>
              <w:t>N</w:t>
            </w:r>
            <w:r>
              <w:rPr>
                <w:rFonts w:cs="Times"/>
                <w:lang w:eastAsia="zh-CN"/>
              </w:rPr>
              <w:t xml:space="preserve"> selected CSI-RS resources </w:t>
            </w:r>
          </w:p>
          <w:p w14:paraId="57AF4994" w14:textId="77777777" w:rsidR="00064DEA" w:rsidRDefault="00064DEA" w:rsidP="00064DEA">
            <w:pPr>
              <w:pStyle w:val="ListParagraph"/>
              <w:numPr>
                <w:ilvl w:val="1"/>
                <w:numId w:val="37"/>
              </w:numPr>
              <w:snapToGrid w:val="0"/>
              <w:spacing w:after="0"/>
              <w:rPr>
                <w:rFonts w:cs="Times"/>
              </w:rPr>
            </w:pPr>
            <w:r>
              <w:rPr>
                <w:rFonts w:cs="Times"/>
                <w:color w:val="FF0000"/>
              </w:rPr>
              <w:lastRenderedPageBreak/>
              <w:t xml:space="preserve">Alt4. The UE can assume that </w:t>
            </w:r>
            <w:r>
              <w:rPr>
                <w:rFonts w:cs="Times"/>
                <w:color w:val="000000"/>
              </w:rPr>
              <w:t xml:space="preserve">the PDSCH EPRE divided by N for a given CSI-RS port follows a commonly configured </w:t>
            </w:r>
            <w:r>
              <w:rPr>
                <w:rFonts w:cs="Times"/>
                <w:i/>
                <w:iCs/>
                <w:color w:val="000000"/>
              </w:rPr>
              <w:t>powerControlOffset</w:t>
            </w:r>
            <w:r>
              <w:rPr>
                <w:rFonts w:cs="Times"/>
                <w:color w:val="000000"/>
              </w:rPr>
              <w:t xml:space="preserve"> value for all the N selected CSI-RS resources</w:t>
            </w:r>
          </w:p>
          <w:p w14:paraId="7AA6869B" w14:textId="77777777" w:rsidR="00064DEA" w:rsidRDefault="00064DEA" w:rsidP="00064DEA">
            <w:pPr>
              <w:pStyle w:val="ListParagraph"/>
              <w:numPr>
                <w:ilvl w:val="1"/>
                <w:numId w:val="37"/>
              </w:numPr>
              <w:snapToGrid w:val="0"/>
              <w:spacing w:after="0"/>
              <w:rPr>
                <w:rFonts w:cs="Times"/>
                <w:color w:val="000000"/>
              </w:rPr>
            </w:pPr>
            <w:r>
              <w:rPr>
                <w:rFonts w:cs="Times"/>
                <w:color w:val="000000"/>
                <w:lang w:eastAsia="zh-CN"/>
              </w:rPr>
              <w:t xml:space="preserve">Alt 5: The UE can assume that the PDSCH EPRE for a given CSI-RS port follows the </w:t>
            </w:r>
            <w:r>
              <w:rPr>
                <w:rFonts w:cs="Times"/>
                <w:i/>
                <w:iCs/>
                <w:color w:val="000000"/>
                <w:lang w:eastAsia="zh-CN"/>
              </w:rPr>
              <w:t>powerControlOffset</w:t>
            </w:r>
            <w:r>
              <w:rPr>
                <w:rFonts w:cs="Times"/>
                <w:color w:val="000000"/>
                <w:lang w:eastAsia="zh-CN"/>
              </w:rPr>
              <w:t xml:space="preserve"> value for one of the configured N</w:t>
            </w:r>
            <w:r>
              <w:rPr>
                <w:rFonts w:cs="Times"/>
                <w:color w:val="000000"/>
                <w:vertAlign w:val="subscript"/>
                <w:lang w:eastAsia="zh-CN"/>
              </w:rPr>
              <w:t>TRP</w:t>
            </w:r>
            <w:r>
              <w:rPr>
                <w:rFonts w:cs="Times"/>
                <w:color w:val="000000"/>
                <w:lang w:eastAsia="zh-CN"/>
              </w:rPr>
              <w:t xml:space="preserve"> CSI-RS resources</w:t>
            </w:r>
          </w:p>
          <w:p w14:paraId="6186F253" w14:textId="77777777" w:rsidR="00064DEA" w:rsidRDefault="00064DEA" w:rsidP="00064DEA">
            <w:pPr>
              <w:pStyle w:val="ListParagraph"/>
              <w:numPr>
                <w:ilvl w:val="1"/>
                <w:numId w:val="37"/>
              </w:numPr>
              <w:snapToGrid w:val="0"/>
              <w:spacing w:after="0"/>
              <w:rPr>
                <w:rFonts w:cs="Times"/>
              </w:rPr>
            </w:pPr>
            <w:r>
              <w:rPr>
                <w:rFonts w:cs="Times"/>
                <w:color w:val="000000"/>
              </w:rPr>
              <w:t>Note: In legacy specification, different CSI-</w:t>
            </w:r>
            <w:r>
              <w:rPr>
                <w:rFonts w:cs="Times"/>
              </w:rPr>
              <w:t xml:space="preserve">RS resources can be configured with different </w:t>
            </w:r>
            <w:r>
              <w:rPr>
                <w:rFonts w:cs="Times"/>
                <w:i/>
                <w:iCs/>
                <w:lang w:eastAsia="zh-CN"/>
              </w:rPr>
              <w:t>powerControlOffset</w:t>
            </w:r>
            <w:r>
              <w:rPr>
                <w:rFonts w:cs="Times"/>
              </w:rPr>
              <w:t xml:space="preserve"> values </w:t>
            </w:r>
          </w:p>
          <w:p w14:paraId="110B4A79" w14:textId="77777777" w:rsidR="00064DEA" w:rsidRDefault="00064DEA" w:rsidP="00064DEA">
            <w:pPr>
              <w:pStyle w:val="ListParagraph"/>
              <w:numPr>
                <w:ilvl w:val="0"/>
                <w:numId w:val="37"/>
              </w:numPr>
              <w:snapToGrid w:val="0"/>
              <w:spacing w:after="0"/>
              <w:rPr>
                <w:rFonts w:cs="Times"/>
              </w:rPr>
            </w:pPr>
            <w:r>
              <w:rPr>
                <w:rFonts w:cs="Times"/>
              </w:rPr>
              <w:t>Decide, in RAN1#113, whether an ordering of CSI-RS port indices (e.g. according to the CSI-RS resource ID in TS38.331) for CSI calculation needs to be specified or not</w:t>
            </w:r>
          </w:p>
          <w:p w14:paraId="1617791C" w14:textId="3EE0B89B" w:rsidR="008F305C" w:rsidRPr="00064DEA" w:rsidRDefault="00064DEA" w:rsidP="00225BE1">
            <w:pPr>
              <w:snapToGrid w:val="0"/>
              <w:rPr>
                <w:rFonts w:cs="Times"/>
              </w:rPr>
            </w:pPr>
            <w:r>
              <w:rPr>
                <w:rFonts w:cs="Times"/>
              </w:rPr>
              <w:t xml:space="preserve">Note: The total number of CSI-RS ports summed across </w:t>
            </w:r>
            <w:r>
              <w:rPr>
                <w:rFonts w:cs="Times"/>
                <w:i/>
                <w:iCs/>
              </w:rPr>
              <w:t>N</w:t>
            </w:r>
            <w:r>
              <w:rPr>
                <w:rFonts w:cs="Times"/>
              </w:rPr>
              <w:t xml:space="preserve"> selected (out of the configured </w:t>
            </w:r>
            <w:r>
              <w:rPr>
                <w:rFonts w:cs="Times"/>
                <w:i/>
                <w:iCs/>
              </w:rPr>
              <w:t>N</w:t>
            </w:r>
            <w:r>
              <w:rPr>
                <w:rFonts w:cs="Times"/>
                <w:i/>
                <w:iCs/>
                <w:vertAlign w:val="subscript"/>
              </w:rPr>
              <w:t>TRP</w:t>
            </w:r>
            <w:r>
              <w:rPr>
                <w:rFonts w:cs="Times"/>
              </w:rPr>
              <w:t xml:space="preserve">) CSI-RS resources will be used in </w:t>
            </w:r>
            <w:r>
              <w:rPr>
                <w:rFonts w:cs="Times"/>
                <w:strike/>
                <w:color w:val="FF0000"/>
              </w:rPr>
              <w:t>the TS38.214 equation for</w:t>
            </w:r>
            <w:r>
              <w:rPr>
                <w:rFonts w:cs="Times"/>
                <w:color w:val="FF0000"/>
              </w:rPr>
              <w:t xml:space="preserve"> </w:t>
            </w:r>
            <w:r>
              <w:rPr>
                <w:rFonts w:cs="Times"/>
              </w:rPr>
              <w:t>CSI calculation</w:t>
            </w:r>
          </w:p>
        </w:tc>
      </w:tr>
      <w:bookmarkEnd w:id="2"/>
    </w:tbl>
    <w:p w14:paraId="29F2BBCB" w14:textId="6338B571" w:rsidR="003B7A5F" w:rsidRDefault="003B7A5F" w:rsidP="003B7A5F">
      <w:pPr>
        <w:jc w:val="both"/>
      </w:pPr>
    </w:p>
    <w:p w14:paraId="6E59A3CF" w14:textId="77777777" w:rsidR="00EB4E90" w:rsidRDefault="00116610" w:rsidP="003B7A5F">
      <w:pPr>
        <w:jc w:val="both"/>
      </w:pPr>
      <w:r>
        <w:t xml:space="preserve">From our understanding of the current spec for </w:t>
      </w:r>
      <w:r w:rsidRPr="001511E7">
        <w:rPr>
          <w:i/>
          <w:iCs/>
        </w:rPr>
        <w:t>powerControlOffset</w:t>
      </w:r>
      <w:r>
        <w:t xml:space="preserve"> in TS38.214, it is used to scale the PMI to reflect the actual PDSCH power and enable the calculation of an appropriate CQI (and therefore MCS of the corresponding PDSCH). For conventional</w:t>
      </w:r>
      <w:r w:rsidR="00F96E69">
        <w:t xml:space="preserve"> single TRP, since it is a simple scaling, it does not matter whether it is performed during PMI calculation or </w:t>
      </w:r>
      <w:r w:rsidR="00BA0162">
        <w:t xml:space="preserve">during </w:t>
      </w:r>
      <w:r w:rsidR="00F96E69">
        <w:t>CQI calculation. For two TRP NCJT scenario, there is no phase coherence between the two TRPs, the PMIs are calculated inde</w:t>
      </w:r>
      <w:r w:rsidR="001511E7">
        <w:t xml:space="preserve">pendently and use the </w:t>
      </w:r>
      <w:r w:rsidR="001511E7" w:rsidRPr="001511E7">
        <w:rPr>
          <w:i/>
          <w:iCs/>
        </w:rPr>
        <w:t>powerControlOffset</w:t>
      </w:r>
      <w:r w:rsidR="001511E7">
        <w:t xml:space="preserve"> of the respective TRP (CSI-RS resource) to calculate CQI.</w:t>
      </w:r>
    </w:p>
    <w:p w14:paraId="7FEE3787" w14:textId="77777777" w:rsidR="00BA0162" w:rsidRDefault="001511E7" w:rsidP="003B7A5F">
      <w:pPr>
        <w:jc w:val="both"/>
      </w:pPr>
      <w:r>
        <w:t>However, CJT jointly (coherently) transmits layers from up to 4 TRPs. Therefore, to calculate an appropriate CQI, the PDSCH power is the sum total of the (coherently) precoded signals from all the TRPs, with the PDSCH EPRE calculated accordingly. With th</w:t>
      </w:r>
      <w:r w:rsidR="00BA0162">
        <w:t xml:space="preserve">is assumption of the PDSCH EPRE, how the </w:t>
      </w:r>
      <w:r w:rsidR="00BA0162" w:rsidRPr="00BA0162">
        <w:rPr>
          <w:i/>
          <w:iCs/>
        </w:rPr>
        <w:t>powerControlOffset</w:t>
      </w:r>
      <w:r w:rsidR="00BA0162">
        <w:t xml:space="preserve"> is configured and used at the UE for CSI calculation greatly affects the performance of the joint transmission.</w:t>
      </w:r>
    </w:p>
    <w:p w14:paraId="70D535A5" w14:textId="77777777" w:rsidR="001511E7" w:rsidRDefault="00BA0162" w:rsidP="003B7A5F">
      <w:pPr>
        <w:jc w:val="both"/>
      </w:pPr>
      <w:r>
        <w:t xml:space="preserve">With a single </w:t>
      </w:r>
      <w:r w:rsidRPr="009D3771">
        <w:rPr>
          <w:i/>
          <w:iCs/>
        </w:rPr>
        <w:t>powerControlOffset</w:t>
      </w:r>
      <w:r w:rsidR="001511E7">
        <w:t xml:space="preserve"> </w:t>
      </w:r>
      <w:r>
        <w:t>configured common to all the CSI-RS resources (Alt 2), UE can use legacy single TRP implementation of applying the offset either during CQI calculation or PMI calculation.</w:t>
      </w:r>
    </w:p>
    <w:p w14:paraId="3E77E1AB" w14:textId="77777777" w:rsidR="00BA0162" w:rsidRDefault="00BA0162" w:rsidP="003B7A5F">
      <w:pPr>
        <w:jc w:val="both"/>
      </w:pPr>
      <w:r>
        <w:t>However, when individual offsets are configured for each CSI-RS resource (Alt 1), depending on when the UE applies the offset, the calculation of CQI is affected. This is shown below:</w:t>
      </w:r>
    </w:p>
    <w:p w14:paraId="18193829" w14:textId="77777777" w:rsidR="00BA0162" w:rsidRDefault="009D3771" w:rsidP="009D3771">
      <w:pPr>
        <w:pStyle w:val="ListParagraph"/>
        <w:numPr>
          <w:ilvl w:val="0"/>
          <w:numId w:val="7"/>
        </w:numPr>
        <w:jc w:val="both"/>
      </w:pPr>
      <w:r>
        <w:t xml:space="preserve">Individual offsets </w:t>
      </w:r>
      <m:oMath>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N</m:t>
            </m:r>
          </m:sub>
        </m:sSub>
      </m:oMath>
      <w:r>
        <w:t xml:space="preserve"> applied </w:t>
      </w:r>
      <w:r w:rsidR="00446103">
        <w:t>during</w:t>
      </w:r>
      <w:r>
        <w:t xml:space="preserve"> PMI calculation</w:t>
      </w:r>
    </w:p>
    <w:p w14:paraId="1A8C4AF9" w14:textId="77777777" w:rsidR="009D3771" w:rsidRDefault="009D3771" w:rsidP="009D3771">
      <w:pPr>
        <w:pStyle w:val="ListParagraph"/>
        <w:jc w:val="both"/>
      </w:pPr>
      <w:r>
        <w:t xml:space="preserve">Denote the measured DL channel during CSI-RS measurement as </w:t>
      </w:r>
      <m:oMath>
        <m:r>
          <m:rPr>
            <m:sty m:val="bi"/>
          </m:rPr>
          <w:rPr>
            <w:rFonts w:ascii="Cambria Math" w:hAnsi="Cambria Math"/>
          </w:rPr>
          <m:t>H=</m:t>
        </m:r>
        <m:d>
          <m:dPr>
            <m:begChr m:val="["/>
            <m:endChr m:val="]"/>
            <m:ctrlPr>
              <w:rPr>
                <w:rFonts w:ascii="Cambria Math" w:hAnsi="Cambria Math"/>
                <w:b/>
                <w:bCs/>
                <w:i/>
              </w:rPr>
            </m:ctrlPr>
          </m:dPr>
          <m:e>
            <m:m>
              <m:mPr>
                <m:mcs>
                  <m:mc>
                    <m:mcPr>
                      <m:count m:val="4"/>
                      <m:mcJc m:val="center"/>
                    </m:mcPr>
                  </m:mc>
                </m:mcs>
                <m:ctrlPr>
                  <w:rPr>
                    <w:rFonts w:ascii="Cambria Math" w:hAnsi="Cambria Math"/>
                    <w:b/>
                    <w:bCs/>
                    <w:i/>
                  </w:rPr>
                </m:ctrlPr>
              </m:mPr>
              <m:mr>
                <m:e>
                  <m:sSub>
                    <m:sSubPr>
                      <m:ctrlPr>
                        <w:rPr>
                          <w:rFonts w:ascii="Cambria Math" w:hAnsi="Cambria Math"/>
                          <w:b/>
                          <w:bCs/>
                          <w:i/>
                        </w:rPr>
                      </m:ctrlPr>
                    </m:sSubPr>
                    <m:e>
                      <m:r>
                        <m:rPr>
                          <m:sty m:val="bi"/>
                        </m:rPr>
                        <w:rPr>
                          <w:rFonts w:ascii="Cambria Math" w:hAnsi="Cambria Math"/>
                        </w:rPr>
                        <m:t>H</m:t>
                      </m:r>
                    </m:e>
                    <m:sub>
                      <m:r>
                        <m:rPr>
                          <m:sty m:val="bi"/>
                        </m:rPr>
                        <w:rPr>
                          <w:rFonts w:ascii="Cambria Math" w:hAnsi="Cambria Math"/>
                        </w:rPr>
                        <m:t>1</m:t>
                      </m:r>
                    </m:sub>
                  </m:sSub>
                </m:e>
                <m:e>
                  <m:sSub>
                    <m:sSubPr>
                      <m:ctrlPr>
                        <w:rPr>
                          <w:rFonts w:ascii="Cambria Math" w:hAnsi="Cambria Math"/>
                          <w:b/>
                          <w:bCs/>
                          <w:i/>
                        </w:rPr>
                      </m:ctrlPr>
                    </m:sSubPr>
                    <m:e>
                      <m:r>
                        <m:rPr>
                          <m:sty m:val="bi"/>
                        </m:rPr>
                        <w:rPr>
                          <w:rFonts w:ascii="Cambria Math" w:hAnsi="Cambria Math"/>
                        </w:rPr>
                        <m:t>H</m:t>
                      </m:r>
                    </m:e>
                    <m:sub>
                      <m:r>
                        <m:rPr>
                          <m:sty m:val="bi"/>
                        </m:rPr>
                        <w:rPr>
                          <w:rFonts w:ascii="Cambria Math" w:hAnsi="Cambria Math"/>
                        </w:rPr>
                        <m:t>2</m:t>
                      </m:r>
                    </m:sub>
                  </m:sSub>
                  <m:ctrlPr>
                    <w:rPr>
                      <w:rFonts w:ascii="Cambria Math" w:eastAsia="Cambria Math" w:hAnsi="Cambria Math" w:cs="Cambria Math"/>
                      <w:b/>
                      <w:bCs/>
                      <w:i/>
                    </w:rPr>
                  </m:ctrlPr>
                </m:e>
                <m:e>
                  <m:r>
                    <m:rPr>
                      <m:sty m:val="bi"/>
                    </m:rPr>
                    <w:rPr>
                      <w:rFonts w:ascii="Cambria Math" w:eastAsia="Cambria Math" w:hAnsi="Cambria Math" w:cs="Cambria Math"/>
                    </w:rPr>
                    <m:t>…</m:t>
                  </m:r>
                  <m:ctrlPr>
                    <w:rPr>
                      <w:rFonts w:ascii="Cambria Math" w:eastAsia="Cambria Math" w:hAnsi="Cambria Math" w:cs="Cambria Math"/>
                      <w:b/>
                      <w:bCs/>
                      <w:i/>
                    </w:rPr>
                  </m:ctrlPr>
                </m:e>
                <m:e>
                  <m:sSub>
                    <m:sSubPr>
                      <m:ctrlPr>
                        <w:rPr>
                          <w:rFonts w:ascii="Cambria Math" w:eastAsia="Cambria Math" w:hAnsi="Cambria Math" w:cs="Cambria Math"/>
                          <w:b/>
                          <w:bCs/>
                          <w:i/>
                        </w:rPr>
                      </m:ctrlPr>
                    </m:sSubPr>
                    <m:e>
                      <m:r>
                        <m:rPr>
                          <m:sty m:val="bi"/>
                        </m:rPr>
                        <w:rPr>
                          <w:rFonts w:ascii="Cambria Math" w:eastAsia="Cambria Math" w:hAnsi="Cambria Math" w:cs="Cambria Math"/>
                        </w:rPr>
                        <m:t>H</m:t>
                      </m:r>
                    </m:e>
                    <m:sub>
                      <m:r>
                        <m:rPr>
                          <m:sty m:val="bi"/>
                        </m:rPr>
                        <w:rPr>
                          <w:rFonts w:ascii="Cambria Math" w:eastAsia="Cambria Math" w:hAnsi="Cambria Math" w:cs="Cambria Math"/>
                        </w:rPr>
                        <m:t>N</m:t>
                      </m:r>
                    </m:sub>
                  </m:sSub>
                </m:e>
              </m:mr>
            </m:m>
          </m:e>
        </m:d>
      </m:oMath>
      <w:r w:rsidRPr="00446103">
        <w:rPr>
          <w:b/>
          <w:bCs/>
        </w:rPr>
        <w:t>.</w:t>
      </w:r>
      <w:r>
        <w:t xml:space="preserve"> The UE scales the power of the individual channels to obtain </w:t>
      </w:r>
      <m:oMath>
        <m:sSub>
          <m:sSubPr>
            <m:ctrlPr>
              <w:rPr>
                <w:rFonts w:ascii="Cambria Math" w:hAnsi="Cambria Math"/>
                <w:b/>
                <w:bCs/>
                <w:i/>
              </w:rPr>
            </m:ctrlPr>
          </m:sSubPr>
          <m:e>
            <m:r>
              <m:rPr>
                <m:sty m:val="bi"/>
              </m:rPr>
              <w:rPr>
                <w:rFonts w:ascii="Cambria Math" w:hAnsi="Cambria Math"/>
              </w:rPr>
              <m:t>H</m:t>
            </m:r>
          </m:e>
          <m:sub>
            <m:r>
              <m:rPr>
                <m:sty m:val="bi"/>
              </m:rPr>
              <w:rPr>
                <w:rFonts w:ascii="Cambria Math" w:hAnsi="Cambria Math"/>
              </w:rPr>
              <m:t>P</m:t>
            </m:r>
          </m:sub>
        </m:sSub>
        <m:r>
          <w:rPr>
            <w:rFonts w:ascii="Cambria Math" w:hAnsi="Cambria Math"/>
          </w:rPr>
          <m:t>=</m:t>
        </m:r>
        <m:d>
          <m:dPr>
            <m:begChr m:val="["/>
            <m:endChr m:val="]"/>
            <m:ctrlPr>
              <w:rPr>
                <w:rFonts w:ascii="Cambria Math" w:hAnsi="Cambria Math"/>
                <w:i/>
              </w:rPr>
            </m:ctrlPr>
          </m:dPr>
          <m:e>
            <m:m>
              <m:mPr>
                <m:mcs>
                  <m:mc>
                    <m:mcPr>
                      <m:count m:val="4"/>
                      <m:mcJc m:val="center"/>
                    </m:mcPr>
                  </m:mc>
                </m:mcs>
                <m:ctrlPr>
                  <w:rPr>
                    <w:rFonts w:ascii="Cambria Math" w:hAnsi="Cambria Math"/>
                    <w:i/>
                  </w:rPr>
                </m:ctrlPr>
              </m:mPr>
              <m:mr>
                <m:e>
                  <m:sSub>
                    <m:sSubPr>
                      <m:ctrlPr>
                        <w:rPr>
                          <w:rFonts w:ascii="Cambria Math" w:eastAsia="Cambria Math" w:hAnsi="Cambria Math" w:cs="Cambria Math"/>
                          <w:i/>
                        </w:rPr>
                      </m:ctrlPr>
                    </m:sSubPr>
                    <m:e>
                      <m:r>
                        <w:rPr>
                          <w:rFonts w:ascii="Cambria Math" w:eastAsia="Cambria Math" w:hAnsi="Cambria Math" w:cs="Cambria Math"/>
                        </w:rPr>
                        <m:t>c</m:t>
                      </m:r>
                    </m:e>
                    <m:sub>
                      <m:r>
                        <w:rPr>
                          <w:rFonts w:ascii="Cambria Math" w:eastAsia="Cambria Math" w:hAnsi="Cambria Math" w:cs="Cambria Math"/>
                        </w:rPr>
                        <m:t>1</m:t>
                      </m:r>
                    </m:sub>
                  </m:sSub>
                  <m:sSub>
                    <m:sSubPr>
                      <m:ctrlPr>
                        <w:rPr>
                          <w:rFonts w:ascii="Cambria Math" w:eastAsia="Cambria Math" w:hAnsi="Cambria Math" w:cs="Cambria Math"/>
                          <w:b/>
                          <w:bCs/>
                          <w:i/>
                        </w:rPr>
                      </m:ctrlPr>
                    </m:sSubPr>
                    <m:e>
                      <m:r>
                        <m:rPr>
                          <m:sty m:val="bi"/>
                        </m:rPr>
                        <w:rPr>
                          <w:rFonts w:ascii="Cambria Math" w:eastAsia="Cambria Math" w:hAnsi="Cambria Math" w:cs="Cambria Math"/>
                        </w:rPr>
                        <m:t>H</m:t>
                      </m:r>
                    </m:e>
                    <m:sub>
                      <m:r>
                        <m:rPr>
                          <m:sty m:val="bi"/>
                        </m:rPr>
                        <w:rPr>
                          <w:rFonts w:ascii="Cambria Math" w:eastAsia="Cambria Math" w:hAnsi="Cambria Math" w:cs="Cambria Math"/>
                        </w:rPr>
                        <m:t>1</m:t>
                      </m:r>
                    </m:sub>
                  </m:sSub>
                </m:e>
                <m:e>
                  <m:sSub>
                    <m:sSubPr>
                      <m:ctrlPr>
                        <w:rPr>
                          <w:rFonts w:ascii="Cambria Math" w:eastAsia="Cambria Math" w:hAnsi="Cambria Math" w:cs="Cambria Math"/>
                          <w:i/>
                        </w:rPr>
                      </m:ctrlPr>
                    </m:sSubPr>
                    <m:e>
                      <m:r>
                        <w:rPr>
                          <w:rFonts w:ascii="Cambria Math" w:eastAsia="Cambria Math" w:hAnsi="Cambria Math" w:cs="Cambria Math"/>
                        </w:rPr>
                        <m:t>c</m:t>
                      </m:r>
                    </m:e>
                    <m:sub>
                      <m:r>
                        <w:rPr>
                          <w:rFonts w:ascii="Cambria Math" w:eastAsia="Cambria Math" w:hAnsi="Cambria Math" w:cs="Cambria Math"/>
                        </w:rPr>
                        <m:t>2</m:t>
                      </m:r>
                    </m:sub>
                  </m:sSub>
                  <m:sSub>
                    <m:sSubPr>
                      <m:ctrlPr>
                        <w:rPr>
                          <w:rFonts w:ascii="Cambria Math" w:eastAsia="Cambria Math" w:hAnsi="Cambria Math" w:cs="Cambria Math"/>
                          <w:b/>
                          <w:bCs/>
                          <w:i/>
                        </w:rPr>
                      </m:ctrlPr>
                    </m:sSubPr>
                    <m:e>
                      <m:r>
                        <m:rPr>
                          <m:sty m:val="bi"/>
                        </m:rPr>
                        <w:rPr>
                          <w:rFonts w:ascii="Cambria Math" w:eastAsia="Cambria Math" w:hAnsi="Cambria Math" w:cs="Cambria Math"/>
                        </w:rPr>
                        <m:t>H</m:t>
                      </m:r>
                    </m:e>
                    <m:sub>
                      <m:r>
                        <m:rPr>
                          <m:sty m:val="bi"/>
                        </m:rPr>
                        <w:rPr>
                          <w:rFonts w:ascii="Cambria Math" w:eastAsia="Cambria Math" w:hAnsi="Cambria Math" w:cs="Cambria Math"/>
                        </w:rPr>
                        <m:t>2</m:t>
                      </m:r>
                    </m:sub>
                  </m:sSub>
                  <m:ctrlPr>
                    <w:rPr>
                      <w:rFonts w:ascii="Cambria Math" w:eastAsia="Cambria Math" w:hAnsi="Cambria Math" w:cs="Cambria Math"/>
                      <w:i/>
                    </w:rPr>
                  </m:ctrlPr>
                </m:e>
                <m:e>
                  <m:r>
                    <w:rPr>
                      <w:rFonts w:ascii="Cambria Math" w:eastAsia="Cambria Math" w:hAnsi="Cambria Math" w:cs="Cambria Math"/>
                    </w:rPr>
                    <m:t>…</m:t>
                  </m:r>
                  <m:ctrlPr>
                    <w:rPr>
                      <w:rFonts w:ascii="Cambria Math" w:eastAsia="Cambria Math" w:hAnsi="Cambria Math" w:cs="Cambria Math"/>
                      <w:i/>
                    </w:rPr>
                  </m:ctrlPr>
                </m:e>
                <m:e>
                  <m:sSub>
                    <m:sSubPr>
                      <m:ctrlPr>
                        <w:rPr>
                          <w:rFonts w:ascii="Cambria Math" w:eastAsia="Cambria Math" w:hAnsi="Cambria Math" w:cs="Cambria Math"/>
                          <w:i/>
                        </w:rPr>
                      </m:ctrlPr>
                    </m:sSubPr>
                    <m:e>
                      <m:r>
                        <w:rPr>
                          <w:rFonts w:ascii="Cambria Math" w:eastAsia="Cambria Math" w:hAnsi="Cambria Math" w:cs="Cambria Math"/>
                        </w:rPr>
                        <m:t>c</m:t>
                      </m:r>
                    </m:e>
                    <m:sub>
                      <m:r>
                        <w:rPr>
                          <w:rFonts w:ascii="Cambria Math" w:eastAsia="Cambria Math" w:hAnsi="Cambria Math" w:cs="Cambria Math"/>
                        </w:rPr>
                        <m:t>N</m:t>
                      </m:r>
                    </m:sub>
                  </m:sSub>
                  <m:sSub>
                    <m:sSubPr>
                      <m:ctrlPr>
                        <w:rPr>
                          <w:rFonts w:ascii="Cambria Math" w:eastAsia="Cambria Math" w:hAnsi="Cambria Math" w:cs="Cambria Math"/>
                          <w:b/>
                          <w:bCs/>
                          <w:i/>
                        </w:rPr>
                      </m:ctrlPr>
                    </m:sSubPr>
                    <m:e>
                      <m:r>
                        <m:rPr>
                          <m:sty m:val="bi"/>
                        </m:rPr>
                        <w:rPr>
                          <w:rFonts w:ascii="Cambria Math" w:eastAsia="Cambria Math" w:hAnsi="Cambria Math" w:cs="Cambria Math"/>
                        </w:rPr>
                        <m:t>H</m:t>
                      </m:r>
                    </m:e>
                    <m:sub>
                      <m:r>
                        <m:rPr>
                          <m:sty m:val="bi"/>
                        </m:rPr>
                        <w:rPr>
                          <w:rFonts w:ascii="Cambria Math" w:eastAsia="Cambria Math" w:hAnsi="Cambria Math" w:cs="Cambria Math"/>
                        </w:rPr>
                        <m:t>N</m:t>
                      </m:r>
                    </m:sub>
                  </m:sSub>
                </m:e>
              </m:mr>
            </m:m>
          </m:e>
        </m:d>
      </m:oMath>
      <w:r w:rsidR="00446103">
        <w:t xml:space="preserve">. The UE then calculates the Type II PMI </w:t>
      </w:r>
      <m:oMath>
        <m:r>
          <m:rPr>
            <m:sty m:val="bi"/>
          </m:rPr>
          <w:rPr>
            <w:rFonts w:ascii="Cambria Math" w:hAnsi="Cambria Math"/>
          </w:rPr>
          <m:t>W</m:t>
        </m:r>
      </m:oMath>
      <w:r w:rsidR="00446103">
        <w:t xml:space="preserve"> based on the eigen vectors </w:t>
      </w:r>
      <m:oMath>
        <m:r>
          <m:rPr>
            <m:sty m:val="bi"/>
          </m:rPr>
          <w:rPr>
            <w:rFonts w:ascii="Cambria Math" w:hAnsi="Cambria Math"/>
          </w:rPr>
          <m:t>V</m:t>
        </m:r>
      </m:oMath>
      <w:r w:rsidR="00446103">
        <w:t xml:space="preserve"> of the channel </w:t>
      </w:r>
      <m:oMath>
        <m:sSub>
          <m:sSubPr>
            <m:ctrlPr>
              <w:rPr>
                <w:rFonts w:ascii="Cambria Math" w:hAnsi="Cambria Math"/>
                <w:b/>
                <w:bCs/>
                <w:i/>
              </w:rPr>
            </m:ctrlPr>
          </m:sSubPr>
          <m:e>
            <m:r>
              <m:rPr>
                <m:sty m:val="bi"/>
              </m:rPr>
              <w:rPr>
                <w:rFonts w:ascii="Cambria Math" w:hAnsi="Cambria Math"/>
              </w:rPr>
              <m:t>H</m:t>
            </m:r>
          </m:e>
          <m:sub>
            <m:r>
              <m:rPr>
                <m:sty m:val="bi"/>
              </m:rPr>
              <w:rPr>
                <w:rFonts w:ascii="Cambria Math" w:hAnsi="Cambria Math"/>
              </w:rPr>
              <m:t>P</m:t>
            </m:r>
          </m:sub>
        </m:sSub>
      </m:oMath>
      <w:r w:rsidR="00446103">
        <w:t xml:space="preserve"> obtained as</w:t>
      </w:r>
    </w:p>
    <w:p w14:paraId="1324F047" w14:textId="77777777" w:rsidR="00446103" w:rsidRPr="00446103" w:rsidRDefault="000A6AE6" w:rsidP="009D3771">
      <w:pPr>
        <w:pStyle w:val="ListParagraph"/>
        <w:jc w:val="both"/>
        <w:rPr>
          <w:b/>
          <w:bCs/>
        </w:rPr>
      </w:pPr>
      <m:oMathPara>
        <m:oMath>
          <m:sSub>
            <m:sSubPr>
              <m:ctrlPr>
                <w:rPr>
                  <w:rFonts w:ascii="Cambria Math" w:hAnsi="Cambria Math"/>
                  <w:b/>
                  <w:bCs/>
                  <w:i/>
                </w:rPr>
              </m:ctrlPr>
            </m:sSubPr>
            <m:e>
              <m:r>
                <m:rPr>
                  <m:sty m:val="bi"/>
                </m:rPr>
                <w:rPr>
                  <w:rFonts w:ascii="Cambria Math" w:hAnsi="Cambria Math"/>
                </w:rPr>
                <m:t>H</m:t>
              </m:r>
            </m:e>
            <m:sub>
              <m:r>
                <m:rPr>
                  <m:sty m:val="bi"/>
                </m:rPr>
                <w:rPr>
                  <w:rFonts w:ascii="Cambria Math" w:hAnsi="Cambria Math"/>
                </w:rPr>
                <m:t>P</m:t>
              </m:r>
            </m:sub>
          </m:sSub>
          <m:r>
            <m:rPr>
              <m:sty m:val="bi"/>
            </m:rPr>
            <w:rPr>
              <w:rFonts w:ascii="Cambria Math" w:hAnsi="Cambria Math"/>
            </w:rPr>
            <m:t>=U</m:t>
          </m:r>
          <m:r>
            <m:rPr>
              <m:sty m:val="b"/>
            </m:rPr>
            <w:rPr>
              <w:rFonts w:ascii="Cambria Math" w:hAnsi="Cambria Math"/>
            </w:rPr>
            <m:t>Σ</m:t>
          </m:r>
          <m:sSup>
            <m:sSupPr>
              <m:ctrlPr>
                <w:rPr>
                  <w:rFonts w:ascii="Cambria Math" w:hAnsi="Cambria Math"/>
                  <w:b/>
                  <w:bCs/>
                  <w:i/>
                </w:rPr>
              </m:ctrlPr>
            </m:sSupPr>
            <m:e>
              <m:r>
                <m:rPr>
                  <m:sty m:val="bi"/>
                </m:rPr>
                <w:rPr>
                  <w:rFonts w:ascii="Cambria Math" w:hAnsi="Cambria Math"/>
                </w:rPr>
                <m:t>V</m:t>
              </m:r>
            </m:e>
            <m:sup>
              <m:r>
                <m:rPr>
                  <m:sty m:val="bi"/>
                </m:rPr>
                <w:rPr>
                  <w:rFonts w:ascii="Cambria Math" w:hAnsi="Cambria Math"/>
                </w:rPr>
                <m:t>H</m:t>
              </m:r>
            </m:sup>
          </m:sSup>
        </m:oMath>
      </m:oMathPara>
    </w:p>
    <w:p w14:paraId="0B2281A7" w14:textId="77777777" w:rsidR="00446103" w:rsidRDefault="00446103" w:rsidP="009D3771">
      <w:pPr>
        <w:pStyle w:val="ListParagraph"/>
        <w:jc w:val="both"/>
      </w:pPr>
      <w:r>
        <w:t xml:space="preserve">The precoded channel </w:t>
      </w:r>
      <m:oMath>
        <m:sSub>
          <m:sSubPr>
            <m:ctrlPr>
              <w:rPr>
                <w:rFonts w:ascii="Cambria Math" w:hAnsi="Cambria Math"/>
                <w:b/>
                <w:bCs/>
                <w:i/>
              </w:rPr>
            </m:ctrlPr>
          </m:sSubPr>
          <m:e>
            <m:r>
              <m:rPr>
                <m:sty m:val="bi"/>
              </m:rPr>
              <w:rPr>
                <w:rFonts w:ascii="Cambria Math" w:hAnsi="Cambria Math"/>
              </w:rPr>
              <m:t>H</m:t>
            </m:r>
          </m:e>
          <m:sub>
            <m:r>
              <m:rPr>
                <m:sty m:val="bi"/>
              </m:rPr>
              <w:rPr>
                <w:rFonts w:ascii="Cambria Math" w:hAnsi="Cambria Math"/>
              </w:rPr>
              <m:t>P</m:t>
            </m:r>
          </m:sub>
        </m:sSub>
        <m:r>
          <m:rPr>
            <m:sty m:val="bi"/>
          </m:rPr>
          <w:rPr>
            <w:rFonts w:ascii="Cambria Math" w:hAnsi="Cambria Math"/>
          </w:rPr>
          <m:t>W</m:t>
        </m:r>
      </m:oMath>
      <w:r>
        <w:t xml:space="preserve"> is then used for CQI calculation.</w:t>
      </w:r>
    </w:p>
    <w:p w14:paraId="45D49D70" w14:textId="77777777" w:rsidR="00446103" w:rsidRDefault="00446103" w:rsidP="00446103">
      <w:pPr>
        <w:pStyle w:val="ListParagraph"/>
        <w:numPr>
          <w:ilvl w:val="0"/>
          <w:numId w:val="7"/>
        </w:numPr>
        <w:jc w:val="both"/>
      </w:pPr>
      <w:r>
        <w:t xml:space="preserve">Individual offsets </w:t>
      </w:r>
      <m:oMath>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N</m:t>
            </m:r>
          </m:sub>
        </m:sSub>
      </m:oMath>
      <w:r>
        <w:t xml:space="preserve"> applied during CQI calculation</w:t>
      </w:r>
    </w:p>
    <w:p w14:paraId="08A8AD41" w14:textId="77777777" w:rsidR="00446103" w:rsidRDefault="00446103" w:rsidP="00446103">
      <w:pPr>
        <w:pStyle w:val="ListParagraph"/>
        <w:jc w:val="both"/>
      </w:pPr>
      <w:r>
        <w:t xml:space="preserve">Denote the measured DL channel during CSI-RS measurement as </w:t>
      </w:r>
      <m:oMath>
        <m:r>
          <m:rPr>
            <m:sty m:val="bi"/>
          </m:rPr>
          <w:rPr>
            <w:rFonts w:ascii="Cambria Math" w:hAnsi="Cambria Math"/>
          </w:rPr>
          <m:t>H=</m:t>
        </m:r>
        <m:d>
          <m:dPr>
            <m:begChr m:val="["/>
            <m:endChr m:val="]"/>
            <m:ctrlPr>
              <w:rPr>
                <w:rFonts w:ascii="Cambria Math" w:hAnsi="Cambria Math"/>
                <w:b/>
                <w:bCs/>
                <w:i/>
              </w:rPr>
            </m:ctrlPr>
          </m:dPr>
          <m:e>
            <m:m>
              <m:mPr>
                <m:mcs>
                  <m:mc>
                    <m:mcPr>
                      <m:count m:val="4"/>
                      <m:mcJc m:val="center"/>
                    </m:mcPr>
                  </m:mc>
                </m:mcs>
                <m:ctrlPr>
                  <w:rPr>
                    <w:rFonts w:ascii="Cambria Math" w:hAnsi="Cambria Math"/>
                    <w:b/>
                    <w:bCs/>
                    <w:i/>
                  </w:rPr>
                </m:ctrlPr>
              </m:mPr>
              <m:mr>
                <m:e>
                  <m:sSub>
                    <m:sSubPr>
                      <m:ctrlPr>
                        <w:rPr>
                          <w:rFonts w:ascii="Cambria Math" w:hAnsi="Cambria Math"/>
                          <w:b/>
                          <w:bCs/>
                          <w:i/>
                        </w:rPr>
                      </m:ctrlPr>
                    </m:sSubPr>
                    <m:e>
                      <m:r>
                        <m:rPr>
                          <m:sty m:val="bi"/>
                        </m:rPr>
                        <w:rPr>
                          <w:rFonts w:ascii="Cambria Math" w:hAnsi="Cambria Math"/>
                        </w:rPr>
                        <m:t>H</m:t>
                      </m:r>
                    </m:e>
                    <m:sub>
                      <m:r>
                        <m:rPr>
                          <m:sty m:val="bi"/>
                        </m:rPr>
                        <w:rPr>
                          <w:rFonts w:ascii="Cambria Math" w:hAnsi="Cambria Math"/>
                        </w:rPr>
                        <m:t>1</m:t>
                      </m:r>
                    </m:sub>
                  </m:sSub>
                </m:e>
                <m:e>
                  <m:sSub>
                    <m:sSubPr>
                      <m:ctrlPr>
                        <w:rPr>
                          <w:rFonts w:ascii="Cambria Math" w:hAnsi="Cambria Math"/>
                          <w:b/>
                          <w:bCs/>
                          <w:i/>
                        </w:rPr>
                      </m:ctrlPr>
                    </m:sSubPr>
                    <m:e>
                      <m:r>
                        <m:rPr>
                          <m:sty m:val="bi"/>
                        </m:rPr>
                        <w:rPr>
                          <w:rFonts w:ascii="Cambria Math" w:hAnsi="Cambria Math"/>
                        </w:rPr>
                        <m:t>H</m:t>
                      </m:r>
                    </m:e>
                    <m:sub>
                      <m:r>
                        <m:rPr>
                          <m:sty m:val="bi"/>
                        </m:rPr>
                        <w:rPr>
                          <w:rFonts w:ascii="Cambria Math" w:hAnsi="Cambria Math"/>
                        </w:rPr>
                        <m:t>2</m:t>
                      </m:r>
                    </m:sub>
                  </m:sSub>
                  <m:ctrlPr>
                    <w:rPr>
                      <w:rFonts w:ascii="Cambria Math" w:eastAsia="Cambria Math" w:hAnsi="Cambria Math" w:cs="Cambria Math"/>
                      <w:b/>
                      <w:bCs/>
                      <w:i/>
                    </w:rPr>
                  </m:ctrlPr>
                </m:e>
                <m:e>
                  <m:r>
                    <m:rPr>
                      <m:sty m:val="bi"/>
                    </m:rPr>
                    <w:rPr>
                      <w:rFonts w:ascii="Cambria Math" w:eastAsia="Cambria Math" w:hAnsi="Cambria Math" w:cs="Cambria Math"/>
                    </w:rPr>
                    <m:t>…</m:t>
                  </m:r>
                  <m:ctrlPr>
                    <w:rPr>
                      <w:rFonts w:ascii="Cambria Math" w:eastAsia="Cambria Math" w:hAnsi="Cambria Math" w:cs="Cambria Math"/>
                      <w:b/>
                      <w:bCs/>
                      <w:i/>
                    </w:rPr>
                  </m:ctrlPr>
                </m:e>
                <m:e>
                  <m:sSub>
                    <m:sSubPr>
                      <m:ctrlPr>
                        <w:rPr>
                          <w:rFonts w:ascii="Cambria Math" w:eastAsia="Cambria Math" w:hAnsi="Cambria Math" w:cs="Cambria Math"/>
                          <w:b/>
                          <w:bCs/>
                          <w:i/>
                        </w:rPr>
                      </m:ctrlPr>
                    </m:sSubPr>
                    <m:e>
                      <m:r>
                        <m:rPr>
                          <m:sty m:val="bi"/>
                        </m:rPr>
                        <w:rPr>
                          <w:rFonts w:ascii="Cambria Math" w:eastAsia="Cambria Math" w:hAnsi="Cambria Math" w:cs="Cambria Math"/>
                        </w:rPr>
                        <m:t>H</m:t>
                      </m:r>
                    </m:e>
                    <m:sub>
                      <m:r>
                        <m:rPr>
                          <m:sty m:val="bi"/>
                        </m:rPr>
                        <w:rPr>
                          <w:rFonts w:ascii="Cambria Math" w:eastAsia="Cambria Math" w:hAnsi="Cambria Math" w:cs="Cambria Math"/>
                        </w:rPr>
                        <m:t>N</m:t>
                      </m:r>
                    </m:sub>
                  </m:sSub>
                </m:e>
              </m:mr>
            </m:m>
          </m:e>
        </m:d>
      </m:oMath>
      <w:r>
        <w:rPr>
          <w:b/>
          <w:bCs/>
        </w:rPr>
        <w:t xml:space="preserve">. </w:t>
      </w:r>
      <w:r>
        <w:t xml:space="preserve">The UE calculates the Type II PMI </w:t>
      </w:r>
      <m:oMath>
        <m:r>
          <m:rPr>
            <m:sty m:val="bi"/>
          </m:rPr>
          <w:rPr>
            <w:rFonts w:ascii="Cambria Math" w:hAnsi="Cambria Math"/>
          </w:rPr>
          <m:t>W</m:t>
        </m:r>
      </m:oMath>
      <w:r>
        <w:t xml:space="preserve"> based on the eigen vectors </w:t>
      </w:r>
      <m:oMath>
        <m:r>
          <m:rPr>
            <m:sty m:val="bi"/>
          </m:rPr>
          <w:rPr>
            <w:rFonts w:ascii="Cambria Math" w:hAnsi="Cambria Math"/>
          </w:rPr>
          <m:t>V</m:t>
        </m:r>
      </m:oMath>
      <w:r>
        <w:t xml:space="preserve"> of the channel </w:t>
      </w:r>
      <m:oMath>
        <m:r>
          <m:rPr>
            <m:sty m:val="bi"/>
          </m:rPr>
          <w:rPr>
            <w:rFonts w:ascii="Cambria Math" w:hAnsi="Cambria Math"/>
          </w:rPr>
          <m:t>H</m:t>
        </m:r>
      </m:oMath>
      <w:r>
        <w:t xml:space="preserve"> obtained as</w:t>
      </w:r>
    </w:p>
    <w:p w14:paraId="4A0B48BD" w14:textId="77777777" w:rsidR="00446103" w:rsidRPr="00446103" w:rsidRDefault="00446103" w:rsidP="00446103">
      <w:pPr>
        <w:pStyle w:val="ListParagraph"/>
        <w:jc w:val="both"/>
        <w:rPr>
          <w:b/>
          <w:bCs/>
        </w:rPr>
      </w:pPr>
      <m:oMathPara>
        <m:oMath>
          <m:r>
            <m:rPr>
              <m:sty m:val="bi"/>
            </m:rPr>
            <w:rPr>
              <w:rFonts w:ascii="Cambria Math" w:hAnsi="Cambria Math"/>
            </w:rPr>
            <m:t>H=U</m:t>
          </m:r>
          <m:r>
            <m:rPr>
              <m:sty m:val="b"/>
            </m:rPr>
            <w:rPr>
              <w:rFonts w:ascii="Cambria Math" w:hAnsi="Cambria Math"/>
            </w:rPr>
            <m:t>Σ</m:t>
          </m:r>
          <m:sSup>
            <m:sSupPr>
              <m:ctrlPr>
                <w:rPr>
                  <w:rFonts w:ascii="Cambria Math" w:hAnsi="Cambria Math"/>
                  <w:b/>
                  <w:bCs/>
                  <w:i/>
                </w:rPr>
              </m:ctrlPr>
            </m:sSupPr>
            <m:e>
              <m:r>
                <m:rPr>
                  <m:sty m:val="bi"/>
                </m:rPr>
                <w:rPr>
                  <w:rFonts w:ascii="Cambria Math" w:hAnsi="Cambria Math"/>
                </w:rPr>
                <m:t>V</m:t>
              </m:r>
            </m:e>
            <m:sup>
              <m:r>
                <m:rPr>
                  <m:sty m:val="bi"/>
                </m:rPr>
                <w:rPr>
                  <w:rFonts w:ascii="Cambria Math" w:hAnsi="Cambria Math"/>
                </w:rPr>
                <m:t>H</m:t>
              </m:r>
            </m:sup>
          </m:sSup>
        </m:oMath>
      </m:oMathPara>
    </w:p>
    <w:p w14:paraId="2DF2685B" w14:textId="77777777" w:rsidR="00446103" w:rsidRDefault="00446103" w:rsidP="00446103">
      <w:pPr>
        <w:pStyle w:val="ListParagraph"/>
        <w:jc w:val="both"/>
      </w:pPr>
      <w:r>
        <w:t xml:space="preserve">Denoting the PMI as </w:t>
      </w:r>
      <m:oMath>
        <m:r>
          <m:rPr>
            <m:sty m:val="bi"/>
          </m:rPr>
          <w:rPr>
            <w:rFonts w:ascii="Cambria Math" w:hAnsi="Cambria Math"/>
          </w:rPr>
          <m:t>W=</m:t>
        </m:r>
        <m:d>
          <m:dPr>
            <m:begChr m:val="["/>
            <m:endChr m:val="]"/>
            <m:ctrlPr>
              <w:rPr>
                <w:rFonts w:ascii="Cambria Math" w:hAnsi="Cambria Math"/>
                <w:b/>
                <w:bCs/>
                <w:i/>
              </w:rPr>
            </m:ctrlPr>
          </m:dPr>
          <m:e>
            <m:m>
              <m:mPr>
                <m:mcs>
                  <m:mc>
                    <m:mcPr>
                      <m:count m:val="1"/>
                      <m:mcJc m:val="center"/>
                    </m:mcPr>
                  </m:mc>
                </m:mcs>
                <m:ctrlPr>
                  <w:rPr>
                    <w:rFonts w:ascii="Cambria Math" w:hAnsi="Cambria Math"/>
                    <w:b/>
                    <w:bCs/>
                    <w:i/>
                  </w:rPr>
                </m:ctrlPr>
              </m:mPr>
              <m:mr>
                <m:e>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1</m:t>
                      </m:r>
                    </m:sub>
                  </m:sSub>
                </m:e>
              </m:mr>
              <m:mr>
                <m:e>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2</m:t>
                      </m:r>
                    </m:sub>
                  </m:sSub>
                  <m:ctrlPr>
                    <w:rPr>
                      <w:rFonts w:ascii="Cambria Math" w:eastAsia="Cambria Math" w:hAnsi="Cambria Math" w:cs="Cambria Math"/>
                      <w:b/>
                      <w:bCs/>
                      <w:i/>
                    </w:rPr>
                  </m:ctrlPr>
                </m:e>
              </m:mr>
              <m:mr>
                <m:e>
                  <m:r>
                    <m:rPr>
                      <m:sty m:val="bi"/>
                    </m:rPr>
                    <w:rPr>
                      <w:rFonts w:ascii="Cambria Math" w:eastAsia="Cambria Math" w:hAnsi="Cambria Math" w:cs="Cambria Math"/>
                    </w:rPr>
                    <m:t>⋮</m:t>
                  </m:r>
                  <m:ctrlPr>
                    <w:rPr>
                      <w:rFonts w:ascii="Cambria Math" w:eastAsia="Cambria Math" w:hAnsi="Cambria Math" w:cs="Cambria Math"/>
                      <w:b/>
                      <w:bCs/>
                      <w:i/>
                    </w:rPr>
                  </m:ctrlPr>
                </m:e>
              </m:mr>
              <m:mr>
                <m:e>
                  <m:sSub>
                    <m:sSubPr>
                      <m:ctrlPr>
                        <w:rPr>
                          <w:rFonts w:ascii="Cambria Math" w:eastAsia="Cambria Math" w:hAnsi="Cambria Math" w:cs="Cambria Math"/>
                          <w:b/>
                          <w:bCs/>
                          <w:i/>
                        </w:rPr>
                      </m:ctrlPr>
                    </m:sSubPr>
                    <m:e>
                      <m:r>
                        <m:rPr>
                          <m:sty m:val="bi"/>
                        </m:rPr>
                        <w:rPr>
                          <w:rFonts w:ascii="Cambria Math" w:eastAsia="Cambria Math" w:hAnsi="Cambria Math" w:cs="Cambria Math"/>
                        </w:rPr>
                        <m:t>W</m:t>
                      </m:r>
                    </m:e>
                    <m:sub>
                      <m:r>
                        <m:rPr>
                          <m:sty m:val="bi"/>
                        </m:rPr>
                        <w:rPr>
                          <w:rFonts w:ascii="Cambria Math" w:eastAsia="Cambria Math" w:hAnsi="Cambria Math" w:cs="Cambria Math"/>
                        </w:rPr>
                        <m:t>N</m:t>
                      </m:r>
                    </m:sub>
                  </m:sSub>
                </m:e>
              </m:mr>
            </m:m>
          </m:e>
        </m:d>
      </m:oMath>
      <w:r>
        <w:rPr>
          <w:b/>
          <w:bCs/>
        </w:rPr>
        <w:t xml:space="preserve">, </w:t>
      </w:r>
      <w:r>
        <w:t xml:space="preserve">the UE uses the scaled precoder </w:t>
      </w: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P</m:t>
            </m:r>
          </m:sub>
        </m:sSub>
        <m:r>
          <m:rPr>
            <m:sty m:val="bi"/>
          </m:rPr>
          <w:rPr>
            <w:rFonts w:ascii="Cambria Math" w:hAnsi="Cambria Math"/>
          </w:rPr>
          <m:t>=</m:t>
        </m:r>
        <m:d>
          <m:dPr>
            <m:begChr m:val="["/>
            <m:endChr m:val="]"/>
            <m:ctrlPr>
              <w:rPr>
                <w:rFonts w:ascii="Cambria Math" w:hAnsi="Cambria Math"/>
                <w:b/>
                <w:bCs/>
                <w:i/>
              </w:rPr>
            </m:ctrlPr>
          </m:dPr>
          <m:e>
            <m:m>
              <m:mPr>
                <m:mcs>
                  <m:mc>
                    <m:mcPr>
                      <m:count m:val="1"/>
                      <m:mcJc m:val="center"/>
                    </m:mcPr>
                  </m:mc>
                </m:mcs>
                <m:ctrlPr>
                  <w:rPr>
                    <w:rFonts w:ascii="Cambria Math" w:hAnsi="Cambria Math"/>
                    <w:b/>
                    <w:bCs/>
                    <w:i/>
                  </w:rPr>
                </m:ctrlPr>
              </m:mPr>
              <m:mr>
                <m:e>
                  <m:sSub>
                    <m:sSubPr>
                      <m:ctrlPr>
                        <w:rPr>
                          <w:rFonts w:ascii="Cambria Math" w:hAnsi="Cambria Math"/>
                          <w:b/>
                          <w:bCs/>
                          <w:i/>
                        </w:rPr>
                      </m:ctrlPr>
                    </m:sSubPr>
                    <m:e>
                      <m:sSub>
                        <m:sSubPr>
                          <m:ctrlPr>
                            <w:rPr>
                              <w:rFonts w:ascii="Cambria Math" w:hAnsi="Cambria Math"/>
                              <w:i/>
                            </w:rPr>
                          </m:ctrlPr>
                        </m:sSubPr>
                        <m:e>
                          <m:r>
                            <w:rPr>
                              <w:rFonts w:ascii="Cambria Math" w:hAnsi="Cambria Math"/>
                            </w:rPr>
                            <m:t>c</m:t>
                          </m:r>
                        </m:e>
                        <m:sub>
                          <m:r>
                            <w:rPr>
                              <w:rFonts w:ascii="Cambria Math" w:hAnsi="Cambria Math"/>
                            </w:rPr>
                            <m:t>1</m:t>
                          </m:r>
                        </m:sub>
                      </m:sSub>
                      <m:r>
                        <m:rPr>
                          <m:sty m:val="bi"/>
                        </m:rPr>
                        <w:rPr>
                          <w:rFonts w:ascii="Cambria Math" w:hAnsi="Cambria Math"/>
                        </w:rPr>
                        <m:t>W</m:t>
                      </m:r>
                    </m:e>
                    <m:sub>
                      <m:r>
                        <m:rPr>
                          <m:sty m:val="bi"/>
                        </m:rPr>
                        <w:rPr>
                          <w:rFonts w:ascii="Cambria Math" w:hAnsi="Cambria Math"/>
                        </w:rPr>
                        <m:t>1</m:t>
                      </m:r>
                    </m:sub>
                  </m:sSub>
                </m:e>
              </m:mr>
              <m:mr>
                <m:e>
                  <m:sSub>
                    <m:sSubPr>
                      <m:ctrlPr>
                        <w:rPr>
                          <w:rFonts w:ascii="Cambria Math" w:hAnsi="Cambria Math"/>
                          <w:b/>
                          <w:bCs/>
                          <w:i/>
                        </w:rPr>
                      </m:ctrlPr>
                    </m:sSubPr>
                    <m:e>
                      <m:sSub>
                        <m:sSubPr>
                          <m:ctrlPr>
                            <w:rPr>
                              <w:rFonts w:ascii="Cambria Math" w:hAnsi="Cambria Math"/>
                              <w:i/>
                            </w:rPr>
                          </m:ctrlPr>
                        </m:sSubPr>
                        <m:e>
                          <m:r>
                            <w:rPr>
                              <w:rFonts w:ascii="Cambria Math" w:hAnsi="Cambria Math"/>
                            </w:rPr>
                            <m:t>c</m:t>
                          </m:r>
                        </m:e>
                        <m:sub>
                          <m:r>
                            <w:rPr>
                              <w:rFonts w:ascii="Cambria Math" w:hAnsi="Cambria Math"/>
                            </w:rPr>
                            <m:t>2</m:t>
                          </m:r>
                        </m:sub>
                      </m:sSub>
                      <m:r>
                        <m:rPr>
                          <m:sty m:val="bi"/>
                        </m:rPr>
                        <w:rPr>
                          <w:rFonts w:ascii="Cambria Math" w:hAnsi="Cambria Math"/>
                        </w:rPr>
                        <m:t>W</m:t>
                      </m:r>
                    </m:e>
                    <m:sub>
                      <m:r>
                        <m:rPr>
                          <m:sty m:val="bi"/>
                        </m:rPr>
                        <w:rPr>
                          <w:rFonts w:ascii="Cambria Math" w:hAnsi="Cambria Math"/>
                        </w:rPr>
                        <m:t>2</m:t>
                      </m:r>
                    </m:sub>
                  </m:sSub>
                  <m:ctrlPr>
                    <w:rPr>
                      <w:rFonts w:ascii="Cambria Math" w:eastAsia="Cambria Math" w:hAnsi="Cambria Math" w:cs="Cambria Math"/>
                      <w:b/>
                      <w:bCs/>
                      <w:i/>
                    </w:rPr>
                  </m:ctrlPr>
                </m:e>
              </m:mr>
              <m:mr>
                <m:e>
                  <m:r>
                    <m:rPr>
                      <m:sty m:val="bi"/>
                    </m:rPr>
                    <w:rPr>
                      <w:rFonts w:ascii="Cambria Math" w:eastAsia="Cambria Math" w:hAnsi="Cambria Math" w:cs="Cambria Math"/>
                    </w:rPr>
                    <m:t>⋮</m:t>
                  </m:r>
                  <m:ctrlPr>
                    <w:rPr>
                      <w:rFonts w:ascii="Cambria Math" w:eastAsia="Cambria Math" w:hAnsi="Cambria Math" w:cs="Cambria Math"/>
                      <w:b/>
                      <w:bCs/>
                      <w:i/>
                    </w:rPr>
                  </m:ctrlPr>
                </m:e>
              </m:mr>
              <m:mr>
                <m:e>
                  <m:sSub>
                    <m:sSubPr>
                      <m:ctrlPr>
                        <w:rPr>
                          <w:rFonts w:ascii="Cambria Math" w:hAnsi="Cambria Math"/>
                          <w:i/>
                        </w:rPr>
                      </m:ctrlPr>
                    </m:sSubPr>
                    <m:e>
                      <m:r>
                        <w:rPr>
                          <w:rFonts w:ascii="Cambria Math" w:hAnsi="Cambria Math"/>
                        </w:rPr>
                        <m:t>c</m:t>
                      </m:r>
                    </m:e>
                    <m:sub>
                      <m:r>
                        <w:rPr>
                          <w:rFonts w:ascii="Cambria Math" w:hAnsi="Cambria Math"/>
                        </w:rPr>
                        <m:t>N</m:t>
                      </m:r>
                    </m:sub>
                  </m:sSub>
                  <m:sSub>
                    <m:sSubPr>
                      <m:ctrlPr>
                        <w:rPr>
                          <w:rFonts w:ascii="Cambria Math" w:eastAsia="Cambria Math" w:hAnsi="Cambria Math" w:cs="Cambria Math"/>
                          <w:b/>
                          <w:bCs/>
                          <w:i/>
                        </w:rPr>
                      </m:ctrlPr>
                    </m:sSubPr>
                    <m:e>
                      <m:r>
                        <m:rPr>
                          <m:sty m:val="bi"/>
                        </m:rPr>
                        <w:rPr>
                          <w:rFonts w:ascii="Cambria Math" w:eastAsia="Cambria Math" w:hAnsi="Cambria Math" w:cs="Cambria Math"/>
                        </w:rPr>
                        <m:t>W</m:t>
                      </m:r>
                    </m:e>
                    <m:sub>
                      <m:r>
                        <m:rPr>
                          <m:sty m:val="bi"/>
                        </m:rPr>
                        <w:rPr>
                          <w:rFonts w:ascii="Cambria Math" w:eastAsia="Cambria Math" w:hAnsi="Cambria Math" w:cs="Cambria Math"/>
                        </w:rPr>
                        <m:t>N</m:t>
                      </m:r>
                    </m:sub>
                  </m:sSub>
                </m:e>
              </m:mr>
            </m:m>
          </m:e>
        </m:d>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C</m:t>
            </m:r>
          </m:e>
          <m:sub>
            <m:r>
              <m:rPr>
                <m:sty m:val="bi"/>
              </m:rPr>
              <w:rPr>
                <w:rFonts w:ascii="Cambria Math" w:hAnsi="Cambria Math"/>
              </w:rPr>
              <m:t>diag</m:t>
            </m:r>
          </m:sub>
        </m:sSub>
        <m:r>
          <m:rPr>
            <m:sty m:val="bi"/>
          </m:rPr>
          <w:rPr>
            <w:rFonts w:ascii="Cambria Math" w:hAnsi="Cambria Math"/>
          </w:rPr>
          <m:t>W</m:t>
        </m:r>
      </m:oMath>
      <w:r>
        <w:rPr>
          <w:b/>
          <w:bCs/>
        </w:rPr>
        <w:t xml:space="preserve"> </w:t>
      </w:r>
      <w:r>
        <w:t xml:space="preserve">for CQI calculation. However, </w:t>
      </w: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P</m:t>
            </m:r>
          </m:sub>
        </m:sSub>
      </m:oMath>
      <w:r w:rsidR="00610C09">
        <w:rPr>
          <w:b/>
          <w:bCs/>
        </w:rPr>
        <w:t xml:space="preserve"> </w:t>
      </w:r>
      <w:r w:rsidR="00610C09" w:rsidRPr="00610C09">
        <w:t>can no</w:t>
      </w:r>
      <w:r w:rsidR="00610C09">
        <w:t xml:space="preserve"> longer diagonalize the mTRP channel matrix </w:t>
      </w:r>
      <m:oMath>
        <m:r>
          <m:rPr>
            <m:sty m:val="bi"/>
          </m:rPr>
          <w:rPr>
            <w:rFonts w:ascii="Cambria Math" w:hAnsi="Cambria Math"/>
          </w:rPr>
          <m:t>H</m:t>
        </m:r>
      </m:oMath>
      <w:r w:rsidR="00610C09">
        <w:rPr>
          <w:b/>
          <w:bCs/>
        </w:rPr>
        <w:t xml:space="preserve"> </w:t>
      </w:r>
      <w:r w:rsidR="00610C09" w:rsidRPr="00610C09">
        <w:t>because</w:t>
      </w:r>
    </w:p>
    <w:p w14:paraId="479A41E6" w14:textId="77777777" w:rsidR="00610C09" w:rsidRDefault="000A6AE6" w:rsidP="00610C09">
      <w:pPr>
        <w:pStyle w:val="ListParagraph"/>
        <w:jc w:val="center"/>
      </w:pPr>
      <m:oMath>
        <m:sSup>
          <m:sSupPr>
            <m:ctrlPr>
              <w:rPr>
                <w:rFonts w:ascii="Cambria Math" w:hAnsi="Cambria Math"/>
                <w:b/>
                <w:bCs/>
                <w:i/>
              </w:rPr>
            </m:ctrlPr>
          </m:sSupPr>
          <m:e>
            <m:r>
              <m:rPr>
                <m:sty m:val="bi"/>
              </m:rPr>
              <w:rPr>
                <w:rFonts w:ascii="Cambria Math" w:hAnsi="Cambria Math"/>
              </w:rPr>
              <m:t>U</m:t>
            </m:r>
          </m:e>
          <m:sup>
            <m:r>
              <m:rPr>
                <m:sty m:val="bi"/>
              </m:rPr>
              <w:rPr>
                <w:rFonts w:ascii="Cambria Math" w:hAnsi="Cambria Math"/>
              </w:rPr>
              <m:t>H</m:t>
            </m:r>
          </m:sup>
        </m:sSup>
        <m:r>
          <m:rPr>
            <m:sty m:val="bi"/>
          </m:rPr>
          <w:rPr>
            <w:rFonts w:ascii="Cambria Math" w:hAnsi="Cambria Math"/>
          </w:rPr>
          <m:t>H</m:t>
        </m:r>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P</m:t>
            </m:r>
          </m:sub>
        </m:sSub>
        <m:r>
          <m:rPr>
            <m:sty m:val="bi"/>
          </m:rPr>
          <w:rPr>
            <w:rFonts w:ascii="Cambria Math" w:hAnsi="Cambria Math"/>
          </w:rPr>
          <m:t>=</m:t>
        </m:r>
        <m:sSup>
          <m:sSupPr>
            <m:ctrlPr>
              <w:rPr>
                <w:rFonts w:ascii="Cambria Math" w:hAnsi="Cambria Math"/>
                <w:b/>
                <w:bCs/>
                <w:i/>
              </w:rPr>
            </m:ctrlPr>
          </m:sSupPr>
          <m:e>
            <m:r>
              <m:rPr>
                <m:sty m:val="bi"/>
              </m:rPr>
              <w:rPr>
                <w:rFonts w:ascii="Cambria Math" w:hAnsi="Cambria Math"/>
              </w:rPr>
              <m:t>U</m:t>
            </m:r>
          </m:e>
          <m:sup>
            <m:r>
              <m:rPr>
                <m:sty m:val="bi"/>
              </m:rPr>
              <w:rPr>
                <w:rFonts w:ascii="Cambria Math" w:hAnsi="Cambria Math"/>
              </w:rPr>
              <m:t>H</m:t>
            </m:r>
          </m:sup>
        </m:sSup>
        <m:r>
          <m:rPr>
            <m:sty m:val="bi"/>
          </m:rPr>
          <w:rPr>
            <w:rFonts w:ascii="Cambria Math" w:hAnsi="Cambria Math"/>
          </w:rPr>
          <m:t>H</m:t>
        </m:r>
        <m:sSub>
          <m:sSubPr>
            <m:ctrlPr>
              <w:rPr>
                <w:rFonts w:ascii="Cambria Math" w:hAnsi="Cambria Math"/>
                <w:b/>
                <w:bCs/>
                <w:i/>
              </w:rPr>
            </m:ctrlPr>
          </m:sSubPr>
          <m:e>
            <m:r>
              <m:rPr>
                <m:sty m:val="bi"/>
              </m:rPr>
              <w:rPr>
                <w:rFonts w:ascii="Cambria Math" w:hAnsi="Cambria Math"/>
              </w:rPr>
              <m:t>C</m:t>
            </m:r>
          </m:e>
          <m:sub>
            <m:r>
              <m:rPr>
                <m:sty m:val="bi"/>
              </m:rPr>
              <w:rPr>
                <w:rFonts w:ascii="Cambria Math" w:hAnsi="Cambria Math"/>
              </w:rPr>
              <m:t>diag</m:t>
            </m:r>
          </m:sub>
        </m:sSub>
        <m:r>
          <m:rPr>
            <m:sty m:val="bi"/>
          </m:rPr>
          <w:rPr>
            <w:rFonts w:ascii="Cambria Math" w:hAnsi="Cambria Math"/>
          </w:rPr>
          <m:t>W</m:t>
        </m:r>
        <m:r>
          <w:rPr>
            <w:rFonts w:ascii="Cambria Math" w:hAnsi="Cambria Math"/>
          </w:rPr>
          <m:t>≠</m:t>
        </m:r>
      </m:oMath>
      <w:r w:rsidR="00610C09">
        <w:t xml:space="preserve"> Diagonal matrix</w:t>
      </w:r>
    </w:p>
    <w:p w14:paraId="03DF0267" w14:textId="77777777" w:rsidR="00610C09" w:rsidRDefault="00610C09" w:rsidP="00610C09">
      <w:pPr>
        <w:pStyle w:val="ListParagraph"/>
      </w:pPr>
      <w:r>
        <w:t>This is equivalent of inter-layer interference and causes the CQI to be largely underestimated, causing performance degradation.</w:t>
      </w:r>
    </w:p>
    <w:p w14:paraId="1D6BE7D6" w14:textId="77777777" w:rsidR="0061014A" w:rsidRPr="0061014A" w:rsidRDefault="0061014A" w:rsidP="0061014A">
      <w:r>
        <w:lastRenderedPageBreak/>
        <w:t>Therefore, to address UE behavior when Alt 1 is supported, we would need to specify that the configured offsets are used during PMI calculation and not during CQI calculation. To avoid this ambiguous spec change and retain legacy UE behavior, we support Alt 2.</w:t>
      </w:r>
    </w:p>
    <w:p w14:paraId="4FA9BBFB" w14:textId="3E2FF122" w:rsidR="001A3212" w:rsidRDefault="001A3212" w:rsidP="001A3212">
      <w:r w:rsidRPr="00DB034E">
        <w:rPr>
          <w:b/>
          <w:bCs/>
        </w:rPr>
        <w:t>Observation</w:t>
      </w:r>
      <w:r w:rsidR="00E71D0D">
        <w:rPr>
          <w:b/>
          <w:bCs/>
        </w:rPr>
        <w:t xml:space="preserve"> </w:t>
      </w:r>
      <w:r w:rsidR="007C32CE">
        <w:rPr>
          <w:b/>
          <w:bCs/>
        </w:rPr>
        <w:t>8</w:t>
      </w:r>
      <w:r w:rsidRPr="00DB034E">
        <w:rPr>
          <w:b/>
          <w:bCs/>
        </w:rPr>
        <w:t>:</w:t>
      </w:r>
      <w:r>
        <w:t xml:space="preserve"> With different powerControlOffsets for different CSI-RS resources (Alt 1), the UE needs to introduce these scaling offsets during the PMI computation stage, which requires new spec definition.</w:t>
      </w:r>
    </w:p>
    <w:p w14:paraId="3D9D71B6" w14:textId="2069FFBF" w:rsidR="001A3212" w:rsidRDefault="001A3212" w:rsidP="001A3212">
      <w:r w:rsidRPr="00DB034E">
        <w:rPr>
          <w:b/>
          <w:bCs/>
        </w:rPr>
        <w:t>Observation</w:t>
      </w:r>
      <w:r w:rsidR="00E71D0D">
        <w:rPr>
          <w:b/>
          <w:bCs/>
        </w:rPr>
        <w:t xml:space="preserve"> </w:t>
      </w:r>
      <w:r w:rsidR="007C32CE">
        <w:rPr>
          <w:b/>
          <w:bCs/>
        </w:rPr>
        <w:t>9</w:t>
      </w:r>
      <w:r w:rsidRPr="00DB034E">
        <w:rPr>
          <w:b/>
          <w:bCs/>
        </w:rPr>
        <w:t>:</w:t>
      </w:r>
      <w:r>
        <w:t xml:space="preserve"> With different powerControlOffsets for different CSI-RS resources (Alt 1), unless a new behavior is defined in spec for UE behavior, it results in layer orthogonality being destroyed for CJT precoder.</w:t>
      </w:r>
    </w:p>
    <w:p w14:paraId="5C2031AD" w14:textId="269353FA" w:rsidR="001A3212" w:rsidRDefault="001A3212" w:rsidP="001A3212">
      <w:pPr>
        <w:rPr>
          <w:rFonts w:cs="Times"/>
        </w:rPr>
      </w:pPr>
      <w:r w:rsidRPr="00DB034E">
        <w:rPr>
          <w:b/>
          <w:bCs/>
        </w:rPr>
        <w:t>Proposal</w:t>
      </w:r>
      <w:r w:rsidR="00E71D0D">
        <w:rPr>
          <w:b/>
          <w:bCs/>
        </w:rPr>
        <w:t xml:space="preserve"> 10</w:t>
      </w:r>
      <w:r w:rsidRPr="00DB034E">
        <w:rPr>
          <w:b/>
          <w:bCs/>
        </w:rPr>
        <w:t>:</w:t>
      </w:r>
      <w:r>
        <w:t xml:space="preserve"> </w:t>
      </w:r>
      <w:r>
        <w:rPr>
          <w:rFonts w:cs="Times"/>
        </w:rPr>
        <w:t xml:space="preserve">For the Rel-18 Type-II codebook refinement for CJT mTRP, support a single (common) powerControlOffset across all </w:t>
      </w:r>
      <m:oMath>
        <m:sSub>
          <m:sSubPr>
            <m:ctrlPr>
              <w:rPr>
                <w:rFonts w:ascii="Cambria Math" w:hAnsi="Cambria Math" w:cs="Times"/>
                <w:i/>
              </w:rPr>
            </m:ctrlPr>
          </m:sSubPr>
          <m:e>
            <m:r>
              <w:rPr>
                <w:rFonts w:ascii="Cambria Math" w:hAnsi="Cambria Math" w:cs="Times"/>
              </w:rPr>
              <m:t>N</m:t>
            </m:r>
          </m:e>
          <m:sub>
            <m:r>
              <w:rPr>
                <w:rFonts w:ascii="Cambria Math" w:hAnsi="Cambria Math" w:cs="Times"/>
              </w:rPr>
              <m:t>TRP</m:t>
            </m:r>
          </m:sub>
        </m:sSub>
      </m:oMath>
      <w:r>
        <w:rPr>
          <w:rFonts w:cs="Times"/>
        </w:rPr>
        <w:t xml:space="preserve"> CSI-RS resources.</w:t>
      </w:r>
    </w:p>
    <w:p w14:paraId="5A1E9C87" w14:textId="2353B4DC" w:rsidR="001A3212" w:rsidRPr="0061014A" w:rsidRDefault="001A3212" w:rsidP="001A3212">
      <w:r w:rsidRPr="00DB034E">
        <w:rPr>
          <w:rFonts w:cs="Times"/>
          <w:b/>
          <w:bCs/>
        </w:rPr>
        <w:t>Proposal</w:t>
      </w:r>
      <w:r w:rsidR="00E71D0D">
        <w:rPr>
          <w:rFonts w:cs="Times"/>
          <w:b/>
          <w:bCs/>
        </w:rPr>
        <w:t xml:space="preserve"> 11</w:t>
      </w:r>
      <w:r w:rsidRPr="00DB034E">
        <w:rPr>
          <w:rFonts w:cs="Times"/>
          <w:b/>
          <w:bCs/>
        </w:rPr>
        <w:t>:</w:t>
      </w:r>
      <w:r>
        <w:rPr>
          <w:rFonts w:cs="Times"/>
        </w:rPr>
        <w:t xml:space="preserve"> For Rel-18 Type-II codebook refinement for CJT mTRP, PDSCH power should be defined as the sum power of (coherently) precoded signals from all TRPs for PDSCH EPRE.</w:t>
      </w:r>
    </w:p>
    <w:p w14:paraId="324190A6" w14:textId="577F3A1D" w:rsidR="00F02BCB" w:rsidRDefault="00F02BCB" w:rsidP="00F4114D">
      <w:pPr>
        <w:pStyle w:val="Heading2"/>
        <w:numPr>
          <w:ilvl w:val="0"/>
          <w:numId w:val="10"/>
        </w:numPr>
        <w:ind w:left="567" w:hanging="567"/>
        <w:rPr>
          <w:sz w:val="28"/>
        </w:rPr>
      </w:pPr>
      <w:r>
        <w:rPr>
          <w:sz w:val="28"/>
        </w:rPr>
        <w:t>CPU Rules</w:t>
      </w:r>
    </w:p>
    <w:tbl>
      <w:tblPr>
        <w:tblStyle w:val="TableGrid"/>
        <w:tblW w:w="0" w:type="auto"/>
        <w:tblLook w:val="04A0" w:firstRow="1" w:lastRow="0" w:firstColumn="1" w:lastColumn="0" w:noHBand="0" w:noVBand="1"/>
      </w:tblPr>
      <w:tblGrid>
        <w:gridCol w:w="9631"/>
      </w:tblGrid>
      <w:tr w:rsidR="00064DEA" w14:paraId="45D22BD7" w14:textId="77777777" w:rsidTr="00446103">
        <w:tc>
          <w:tcPr>
            <w:tcW w:w="9631" w:type="dxa"/>
          </w:tcPr>
          <w:p w14:paraId="42DC94F5" w14:textId="77777777" w:rsidR="00064DEA" w:rsidRDefault="00064DEA" w:rsidP="00064DEA">
            <w:pPr>
              <w:snapToGrid w:val="0"/>
              <w:rPr>
                <w:rFonts w:cs="Times"/>
                <w:b/>
                <w:highlight w:val="green"/>
              </w:rPr>
            </w:pPr>
            <w:r>
              <w:rPr>
                <w:rFonts w:cs="Times"/>
                <w:b/>
                <w:highlight w:val="green"/>
              </w:rPr>
              <w:t>Agreement</w:t>
            </w:r>
          </w:p>
          <w:p w14:paraId="6FC47C79" w14:textId="77777777" w:rsidR="00064DEA" w:rsidRDefault="00064DEA" w:rsidP="00064DEA">
            <w:pPr>
              <w:rPr>
                <w:rFonts w:cs="Times"/>
                <w:sz w:val="20"/>
              </w:rPr>
            </w:pPr>
            <w:r>
              <w:rPr>
                <w:rFonts w:cs="Times"/>
              </w:rPr>
              <w:t xml:space="preserve">On the Type-II codebook refinement for CJT mTRP, regarding the required number of CPUs and the values of Z/Z’, decide, in RAN1#113, at least based on the following factors: </w:t>
            </w:r>
          </w:p>
          <w:p w14:paraId="5FE82072" w14:textId="77777777" w:rsidR="00064DEA" w:rsidRDefault="00064DEA" w:rsidP="00064DEA">
            <w:pPr>
              <w:pStyle w:val="ListParagraph"/>
              <w:numPr>
                <w:ilvl w:val="0"/>
                <w:numId w:val="38"/>
              </w:numPr>
              <w:snapToGrid w:val="0"/>
              <w:spacing w:after="0"/>
              <w:rPr>
                <w:rFonts w:cs="Times"/>
              </w:rPr>
            </w:pPr>
            <w:r>
              <w:rPr>
                <w:rFonts w:cs="Times"/>
              </w:rPr>
              <w:t xml:space="preserve">The potential increase in the total number of CSI-RS ports due to the selection/configuration of </w:t>
            </w:r>
            <w:r>
              <w:rPr>
                <w:rFonts w:cs="Times"/>
                <w:i/>
                <w:iCs/>
              </w:rPr>
              <w:t>N/ N</w:t>
            </w:r>
            <w:r>
              <w:rPr>
                <w:rFonts w:cs="Times"/>
                <w:i/>
                <w:iCs/>
                <w:vertAlign w:val="subscript"/>
              </w:rPr>
              <w:t>TRP</w:t>
            </w:r>
            <w:r>
              <w:rPr>
                <w:rFonts w:cs="Times"/>
              </w:rPr>
              <w:t xml:space="preserve"> CSI-RS resources for Type-II CSI</w:t>
            </w:r>
          </w:p>
          <w:p w14:paraId="6731A43B" w14:textId="77777777" w:rsidR="00064DEA" w:rsidRDefault="00064DEA" w:rsidP="00064DEA">
            <w:pPr>
              <w:pStyle w:val="ListParagraph"/>
              <w:numPr>
                <w:ilvl w:val="0"/>
                <w:numId w:val="38"/>
              </w:numPr>
              <w:snapToGrid w:val="0"/>
              <w:spacing w:after="0"/>
              <w:rPr>
                <w:rFonts w:cs="Times"/>
              </w:rPr>
            </w:pPr>
            <w:r>
              <w:rPr>
                <w:rFonts w:cs="Times"/>
              </w:rPr>
              <w:t xml:space="preserve">The support for dynamic TRP selection, wherein </w:t>
            </w:r>
            <w:r>
              <w:rPr>
                <w:rFonts w:cs="Times"/>
                <w:i/>
                <w:iCs/>
              </w:rPr>
              <w:t>N</w:t>
            </w:r>
            <w:r>
              <w:rPr>
                <w:rFonts w:cs="Times"/>
              </w:rPr>
              <w:t xml:space="preserve"> CSI-RS resources are selected out of the configured </w:t>
            </w:r>
            <w:r>
              <w:rPr>
                <w:rFonts w:cs="Times"/>
                <w:i/>
                <w:iCs/>
              </w:rPr>
              <w:t>N</w:t>
            </w:r>
            <w:r>
              <w:rPr>
                <w:rFonts w:cs="Times"/>
                <w:i/>
                <w:iCs/>
                <w:vertAlign w:val="subscript"/>
              </w:rPr>
              <w:t>TRP</w:t>
            </w:r>
            <w:r>
              <w:rPr>
                <w:rFonts w:cs="Times"/>
              </w:rPr>
              <w:t xml:space="preserve"> CSI-RS resources </w:t>
            </w:r>
          </w:p>
          <w:p w14:paraId="76765E12" w14:textId="77777777" w:rsidR="00064DEA" w:rsidRDefault="00064DEA" w:rsidP="00064DEA">
            <w:pPr>
              <w:pStyle w:val="ListParagraph"/>
              <w:numPr>
                <w:ilvl w:val="1"/>
                <w:numId w:val="38"/>
              </w:numPr>
              <w:snapToGrid w:val="0"/>
              <w:spacing w:after="0"/>
              <w:rPr>
                <w:rFonts w:cs="Times"/>
              </w:rPr>
            </w:pPr>
            <w:r>
              <w:rPr>
                <w:rFonts w:cs="Times"/>
              </w:rPr>
              <w:t xml:space="preserve">Note: The fall-back of gNB configuring </w:t>
            </w:r>
            <w:r>
              <w:rPr>
                <w:rFonts w:cs="Times"/>
                <w:i/>
                <w:iCs/>
              </w:rPr>
              <w:t>N</w:t>
            </w:r>
            <w:r>
              <w:rPr>
                <w:rFonts w:cs="Times"/>
              </w:rPr>
              <w:t>=</w:t>
            </w:r>
            <w:r>
              <w:rPr>
                <w:rFonts w:cs="Times"/>
                <w:i/>
                <w:iCs/>
              </w:rPr>
              <w:t>N</w:t>
            </w:r>
            <w:r>
              <w:rPr>
                <w:rFonts w:cs="Times"/>
                <w:i/>
                <w:iCs/>
                <w:vertAlign w:val="subscript"/>
              </w:rPr>
              <w:t>TRP</w:t>
            </w:r>
            <w:r>
              <w:rPr>
                <w:rFonts w:cs="Times"/>
              </w:rPr>
              <w:t xml:space="preserve"> via RRC signalling is supported</w:t>
            </w:r>
          </w:p>
          <w:p w14:paraId="3603D54C" w14:textId="77777777" w:rsidR="00064DEA" w:rsidRDefault="00064DEA" w:rsidP="00064DEA">
            <w:pPr>
              <w:pStyle w:val="ListParagraph"/>
              <w:numPr>
                <w:ilvl w:val="0"/>
                <w:numId w:val="38"/>
              </w:numPr>
              <w:snapToGrid w:val="0"/>
              <w:spacing w:after="0"/>
              <w:rPr>
                <w:rFonts w:cs="Times"/>
              </w:rPr>
            </w:pPr>
            <w:r>
              <w:rPr>
                <w:rFonts w:cs="Times"/>
              </w:rPr>
              <w:t>The support for dynamic {</w:t>
            </w:r>
            <w:r>
              <w:rPr>
                <w:rFonts w:cs="Times"/>
                <w:i/>
                <w:iCs/>
              </w:rPr>
              <w:t>L</w:t>
            </w:r>
            <w:r>
              <w:rPr>
                <w:rFonts w:cs="Times"/>
                <w:i/>
                <w:iCs/>
                <w:vertAlign w:val="subscript"/>
              </w:rPr>
              <w:t>n</w:t>
            </w:r>
            <w:r>
              <w:rPr>
                <w:rFonts w:cs="Times"/>
              </w:rPr>
              <w:t xml:space="preserve">} selection, wherein 1 out of </w:t>
            </w:r>
            <w:r>
              <w:rPr>
                <w:rFonts w:cs="Times"/>
                <w:i/>
                <w:iCs/>
              </w:rPr>
              <w:t>N</w:t>
            </w:r>
            <w:r>
              <w:rPr>
                <w:rFonts w:cs="Times"/>
                <w:i/>
                <w:iCs/>
                <w:vertAlign w:val="subscript"/>
              </w:rPr>
              <w:t>L</w:t>
            </w:r>
            <w:r>
              <w:rPr>
                <w:rFonts w:cs="Times"/>
              </w:rPr>
              <w:t xml:space="preserve"> {</w:t>
            </w:r>
            <w:r>
              <w:rPr>
                <w:rFonts w:cs="Times"/>
                <w:i/>
                <w:iCs/>
              </w:rPr>
              <w:t>L</w:t>
            </w:r>
            <w:r>
              <w:rPr>
                <w:rFonts w:cs="Times"/>
                <w:i/>
                <w:iCs/>
                <w:vertAlign w:val="subscript"/>
              </w:rPr>
              <w:t>n</w:t>
            </w:r>
            <w:r>
              <w:rPr>
                <w:rFonts w:cs="Times"/>
              </w:rPr>
              <w:t xml:space="preserve">} combinations is selected </w:t>
            </w:r>
          </w:p>
          <w:p w14:paraId="7D0F0F7D" w14:textId="4C1A88B8" w:rsidR="00064DEA" w:rsidRPr="00064DEA" w:rsidRDefault="00064DEA" w:rsidP="00064DEA">
            <w:pPr>
              <w:snapToGrid w:val="0"/>
              <w:rPr>
                <w:rFonts w:cs="Times"/>
                <w:sz w:val="20"/>
                <w:highlight w:val="green"/>
              </w:rPr>
            </w:pPr>
            <w:r>
              <w:rPr>
                <w:rFonts w:cs="Times"/>
              </w:rPr>
              <w:t xml:space="preserve">Note: The fall-back of gNB configuring </w:t>
            </w:r>
            <w:r>
              <w:rPr>
                <w:rFonts w:cs="Times"/>
                <w:i/>
                <w:iCs/>
              </w:rPr>
              <w:t>N</w:t>
            </w:r>
            <w:r>
              <w:rPr>
                <w:rFonts w:cs="Times"/>
                <w:i/>
                <w:iCs/>
                <w:vertAlign w:val="subscript"/>
              </w:rPr>
              <w:t>L</w:t>
            </w:r>
            <w:r>
              <w:rPr>
                <w:rFonts w:cs="Times"/>
              </w:rPr>
              <w:t>=1 is supported</w:t>
            </w:r>
          </w:p>
        </w:tc>
      </w:tr>
    </w:tbl>
    <w:p w14:paraId="46E5553C" w14:textId="3041FA90" w:rsidR="00064DEA" w:rsidRDefault="00064DEA" w:rsidP="00064DEA"/>
    <w:p w14:paraId="0FEB44C7" w14:textId="77777777" w:rsidR="001A3212" w:rsidRPr="00E2764C" w:rsidRDefault="001A3212" w:rsidP="001A3212">
      <w:pPr>
        <w:rPr>
          <w:u w:val="single"/>
        </w:rPr>
      </w:pPr>
      <w:r w:rsidRPr="00E2764C">
        <w:rPr>
          <w:u w:val="single"/>
        </w:rPr>
        <w:t>Regarding CPU Occupation:</w:t>
      </w:r>
    </w:p>
    <w:p w14:paraId="4FBA2DA1" w14:textId="77777777" w:rsidR="001A3212" w:rsidRDefault="001A3212" w:rsidP="001A3212">
      <w:r>
        <w:t xml:space="preserve">For NCJT CSI, the number of CPUs occupied by a CSI report configuration is given by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=X⋅N+M</m:t>
        </m:r>
      </m:oMath>
      <w:r>
        <w:t xml:space="preserve">, where </w:t>
      </w:r>
      <m:oMath>
        <m:r>
          <w:rPr>
            <w:rFonts w:ascii="Cambria Math" w:hAnsi="Cambria Math"/>
          </w:rPr>
          <m:t>N</m:t>
        </m:r>
      </m:oMath>
      <w:r>
        <w:t xml:space="preserve"> is the number of mTRP hypotheses (number of resource pairs), </w:t>
      </w:r>
      <m:oMath>
        <m:r>
          <w:rPr>
            <w:rFonts w:ascii="Cambria Math" w:hAnsi="Cambria Math"/>
          </w:rPr>
          <m:t>M</m:t>
        </m:r>
      </m:oMath>
      <w:r>
        <w:t xml:space="preserve"> is the number of sTRP hypotheses, and </w:t>
      </w:r>
      <m:oMath>
        <m:r>
          <w:rPr>
            <w:rFonts w:ascii="Cambria Math" w:hAnsi="Cambria Math"/>
          </w:rPr>
          <m:t>X</m:t>
        </m:r>
      </m:oMath>
      <w:r>
        <w:t xml:space="preserve"> is the number of CPUs occupied by a pair of channel measurement resources, subject to UE capability.</w:t>
      </w:r>
    </w:p>
    <w:p w14:paraId="34756131" w14:textId="77777777" w:rsidR="001A3212" w:rsidRDefault="001A3212" w:rsidP="001A3212">
      <w:r>
        <w:t xml:space="preserve">For CJT CSI, the UE needs to process at least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t xml:space="preserve"> CMRs jointly (simultaneously) to begin with, before proceeding to perform TRP selection, SD bases combination selection, and precoder computation. To accommodate these computations, we propose that the CPU occupation is given by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=X⋅</m:t>
        </m:r>
        <m:sSub>
          <m:sSubPr>
            <m:ctrlPr>
              <w:rPr>
                <w:rFonts w:ascii="Cambria Math" w:hAnsi="Cambria Math"/>
                <w:i/>
              </w:rPr>
            </m:ctrlPr>
          </m:sSubPr>
          <m:e>
            <m:r>
              <w:rPr>
                <w:rFonts w:ascii="Cambria Math" w:hAnsi="Cambria Math"/>
              </w:rPr>
              <m:t>N</m:t>
            </m:r>
          </m:e>
          <m:sub>
            <m:r>
              <w:rPr>
                <w:rFonts w:ascii="Cambria Math" w:hAnsi="Cambria Math"/>
              </w:rPr>
              <m:t>TRP</m:t>
            </m:r>
          </m:sub>
        </m:sSub>
      </m:oMath>
      <w:r>
        <w:t xml:space="preserve">, where </w:t>
      </w:r>
      <m:oMath>
        <m:r>
          <w:rPr>
            <w:rFonts w:ascii="Cambria Math" w:hAnsi="Cambria Math"/>
          </w:rPr>
          <m:t>X</m:t>
        </m:r>
      </m:oMath>
      <w:r>
        <w:t xml:space="preserve"> is the number of CPUs occupied by a legacy (single TRP) CMR, while also taking into account the UE capability and implementation aspects of TRP selection, selection of one out of </w:t>
      </w:r>
      <m:oMath>
        <m:sSub>
          <m:sSubPr>
            <m:ctrlPr>
              <w:rPr>
                <w:rFonts w:ascii="Cambria Math" w:hAnsi="Cambria Math"/>
                <w:i/>
              </w:rPr>
            </m:ctrlPr>
          </m:sSubPr>
          <m:e>
            <m:r>
              <w:rPr>
                <w:rFonts w:ascii="Cambria Math" w:hAnsi="Cambria Math"/>
              </w:rPr>
              <m:t>N</m:t>
            </m:r>
          </m:e>
          <m:sub>
            <m:r>
              <w:rPr>
                <w:rFonts w:ascii="Cambria Math" w:hAnsi="Cambria Math"/>
              </w:rPr>
              <m:t>L</m:t>
            </m:r>
          </m:sub>
        </m:sSub>
      </m:oMath>
      <w:r>
        <w:t xml:space="preserve"> SD bases combination, and additional computation (compared to NCJT) required for joint SVD.</w:t>
      </w:r>
    </w:p>
    <w:p w14:paraId="161E5744" w14:textId="7B376251" w:rsidR="001A3212" w:rsidRDefault="001A3212" w:rsidP="001A3212">
      <w:r w:rsidRPr="00404CF1">
        <w:rPr>
          <w:b/>
          <w:bCs/>
        </w:rPr>
        <w:t>Proposal</w:t>
      </w:r>
      <w:r w:rsidR="00E71D0D">
        <w:rPr>
          <w:b/>
          <w:bCs/>
        </w:rPr>
        <w:t xml:space="preserve"> 12</w:t>
      </w:r>
      <w:r w:rsidRPr="00404CF1">
        <w:rPr>
          <w:b/>
          <w:bCs/>
        </w:rPr>
        <w:t>:</w:t>
      </w:r>
      <w:r>
        <w:t xml:space="preserve"> </w:t>
      </w:r>
      <w:r>
        <w:rPr>
          <w:rFonts w:cs="Times"/>
        </w:rPr>
        <w:t xml:space="preserve">For Rel-18 Type-II codebook refinement for CJT mTRP, define the CPU occupation rule as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=X⋅</m:t>
        </m:r>
        <m:sSub>
          <m:sSubPr>
            <m:ctrlPr>
              <w:rPr>
                <w:rFonts w:ascii="Cambria Math" w:hAnsi="Cambria Math"/>
                <w:i/>
              </w:rPr>
            </m:ctrlPr>
          </m:sSubPr>
          <m:e>
            <m:r>
              <w:rPr>
                <w:rFonts w:ascii="Cambria Math" w:hAnsi="Cambria Math"/>
              </w:rPr>
              <m:t>N</m:t>
            </m:r>
          </m:e>
          <m:sub>
            <m:r>
              <w:rPr>
                <w:rFonts w:ascii="Cambria Math" w:hAnsi="Cambria Math"/>
              </w:rPr>
              <m:t>TRP</m:t>
            </m:r>
          </m:sub>
        </m:sSub>
      </m:oMath>
      <w:r>
        <w:rPr>
          <w:rFonts w:cs="Times"/>
        </w:rPr>
        <w:t xml:space="preserve">, where </w:t>
      </w:r>
      <m:oMath>
        <m:r>
          <w:rPr>
            <w:rFonts w:ascii="Cambria Math" w:hAnsi="Cambria Math"/>
          </w:rPr>
          <m:t xml:space="preserve">X </m:t>
        </m:r>
      </m:oMath>
      <w:r>
        <w:t xml:space="preserve">takes into account the UE capability and implementation aspects of TRP selection, selection of one out of </w:t>
      </w:r>
      <m:oMath>
        <m:sSub>
          <m:sSubPr>
            <m:ctrlPr>
              <w:rPr>
                <w:rFonts w:ascii="Cambria Math" w:hAnsi="Cambria Math"/>
                <w:i/>
              </w:rPr>
            </m:ctrlPr>
          </m:sSubPr>
          <m:e>
            <m:r>
              <w:rPr>
                <w:rFonts w:ascii="Cambria Math" w:hAnsi="Cambria Math"/>
              </w:rPr>
              <m:t>N</m:t>
            </m:r>
          </m:e>
          <m:sub>
            <m:r>
              <w:rPr>
                <w:rFonts w:ascii="Cambria Math" w:hAnsi="Cambria Math"/>
              </w:rPr>
              <m:t>L</m:t>
            </m:r>
          </m:sub>
        </m:sSub>
      </m:oMath>
      <w:r>
        <w:t xml:space="preserve"> SD bases combination, and additional computation (compared to NCJT) required for joint SVD.</w:t>
      </w:r>
    </w:p>
    <w:p w14:paraId="0CECF0ED" w14:textId="0489B717" w:rsidR="008F305C" w:rsidRDefault="008F305C" w:rsidP="00F4114D">
      <w:pPr>
        <w:pStyle w:val="Heading2"/>
        <w:numPr>
          <w:ilvl w:val="0"/>
          <w:numId w:val="10"/>
        </w:numPr>
        <w:ind w:left="567" w:hanging="567"/>
        <w:rPr>
          <w:sz w:val="28"/>
        </w:rPr>
      </w:pPr>
      <w:r>
        <w:rPr>
          <w:sz w:val="28"/>
        </w:rPr>
        <w:t xml:space="preserve">On </w:t>
      </w:r>
      <m:oMath>
        <m:sSub>
          <m:sSubPr>
            <m:ctrlPr>
              <w:rPr>
                <w:rFonts w:ascii="Cambria Math" w:hAnsi="Cambria Math"/>
                <w:b/>
                <w:bCs/>
                <w:i/>
                <w:sz w:val="28"/>
              </w:rPr>
            </m:ctrlPr>
          </m:sSubPr>
          <m:e>
            <m:r>
              <m:rPr>
                <m:sty m:val="bi"/>
              </m:rPr>
              <w:rPr>
                <w:rFonts w:ascii="Cambria Math" w:hAnsi="Cambria Math"/>
                <w:sz w:val="28"/>
              </w:rPr>
              <m:t>W</m:t>
            </m:r>
          </m:e>
          <m:sub>
            <m:r>
              <m:rPr>
                <m:sty m:val="bi"/>
              </m:rPr>
              <w:rPr>
                <w:rFonts w:ascii="Cambria Math" w:hAnsi="Cambria Math"/>
                <w:sz w:val="28"/>
              </w:rPr>
              <m:t>2</m:t>
            </m:r>
          </m:sub>
        </m:sSub>
      </m:oMath>
      <w:r w:rsidR="00A44D9B">
        <w:rPr>
          <w:b/>
          <w:bCs/>
          <w:sz w:val="28"/>
        </w:rPr>
        <w:t xml:space="preserve"> </w:t>
      </w:r>
      <w:r w:rsidR="00A44D9B" w:rsidRPr="00A44D9B">
        <w:rPr>
          <w:sz w:val="28"/>
        </w:rPr>
        <w:t>quantization</w:t>
      </w:r>
      <w:r w:rsidR="00A44D9B">
        <w:rPr>
          <w:b/>
          <w:bCs/>
          <w:sz w:val="28"/>
        </w:rPr>
        <w:t xml:space="preserve"> </w:t>
      </w:r>
      <w:r w:rsidR="00A44D9B">
        <w:rPr>
          <w:sz w:val="28"/>
        </w:rPr>
        <w:t>alternative</w:t>
      </w:r>
      <w:r w:rsidR="0073245C">
        <w:rPr>
          <w:sz w:val="28"/>
        </w:rPr>
        <w:t>s</w:t>
      </w:r>
    </w:p>
    <w:p w14:paraId="78E35DAE" w14:textId="5740A161" w:rsidR="008F305C" w:rsidRDefault="008F305C" w:rsidP="008F305C">
      <w:pPr>
        <w:jc w:val="both"/>
        <w:rPr>
          <w:rFonts w:eastAsia="SimSun"/>
          <w:szCs w:val="22"/>
          <w:lang w:eastAsia="zh-CN"/>
        </w:rPr>
      </w:pPr>
      <w:r w:rsidRPr="00FF3F9F">
        <w:rPr>
          <w:rFonts w:eastAsia="SimSun"/>
          <w:szCs w:val="22"/>
          <w:lang w:eastAsia="zh-CN"/>
        </w:rPr>
        <w:t>In RAN1 #110</w:t>
      </w:r>
      <w:r>
        <w:rPr>
          <w:rFonts w:eastAsia="SimSun"/>
          <w:szCs w:val="22"/>
          <w:lang w:eastAsia="zh-CN"/>
        </w:rPr>
        <w:t>bis-e</w:t>
      </w:r>
      <w:r w:rsidR="00182599">
        <w:rPr>
          <w:rFonts w:eastAsia="SimSun"/>
          <w:szCs w:val="22"/>
          <w:lang w:eastAsia="zh-CN"/>
        </w:rPr>
        <w:t xml:space="preserve"> meeting</w:t>
      </w:r>
      <w:r w:rsidRPr="00FF3F9F">
        <w:rPr>
          <w:rFonts w:eastAsia="SimSun"/>
          <w:szCs w:val="22"/>
          <w:lang w:eastAsia="zh-CN"/>
        </w:rPr>
        <w:t>, the following agreement w</w:t>
      </w:r>
      <w:r w:rsidR="00182599">
        <w:rPr>
          <w:rFonts w:eastAsia="SimSun"/>
          <w:szCs w:val="22"/>
          <w:lang w:eastAsia="zh-CN"/>
        </w:rPr>
        <w:t>as</w:t>
      </w:r>
      <w:r w:rsidRPr="00FF3F9F">
        <w:rPr>
          <w:rFonts w:eastAsia="SimSun"/>
          <w:szCs w:val="22"/>
          <w:lang w:eastAsia="zh-CN"/>
        </w:rPr>
        <w:t xml:space="preserve"> made </w:t>
      </w:r>
      <w:r>
        <w:rPr>
          <w:rFonts w:eastAsia="SimSun"/>
          <w:szCs w:val="22"/>
          <w:lang w:eastAsia="zh-CN"/>
        </w:rPr>
        <w:t xml:space="preserve">regarding </w:t>
      </w:r>
      <m:oMath>
        <m:sSub>
          <m:sSubPr>
            <m:ctrlPr>
              <w:rPr>
                <w:rFonts w:ascii="Cambria Math" w:eastAsia="SimSun" w:hAnsi="Cambria Math"/>
                <w:b/>
                <w:bCs/>
                <w:i/>
                <w:szCs w:val="22"/>
                <w:lang w:eastAsia="zh-CN"/>
              </w:rPr>
            </m:ctrlPr>
          </m:sSubPr>
          <m:e>
            <m:r>
              <m:rPr>
                <m:sty m:val="bi"/>
              </m:rPr>
              <w:rPr>
                <w:rFonts w:ascii="Cambria Math" w:eastAsia="SimSun" w:hAnsi="Cambria Math"/>
                <w:szCs w:val="22"/>
                <w:lang w:eastAsia="zh-CN"/>
              </w:rPr>
              <m:t>W</m:t>
            </m:r>
          </m:e>
          <m:sub>
            <m:r>
              <m:rPr>
                <m:sty m:val="bi"/>
              </m:rPr>
              <w:rPr>
                <w:rFonts w:ascii="Cambria Math" w:eastAsia="SimSun" w:hAnsi="Cambria Math"/>
                <w:szCs w:val="22"/>
                <w:lang w:eastAsia="zh-CN"/>
              </w:rPr>
              <m:t>2</m:t>
            </m:r>
          </m:sub>
        </m:sSub>
      </m:oMath>
      <w:r w:rsidR="00182599">
        <w:rPr>
          <w:rFonts w:eastAsia="SimSun"/>
          <w:szCs w:val="22"/>
          <w:lang w:eastAsia="zh-CN"/>
        </w:rPr>
        <w:t xml:space="preserve"> </w:t>
      </w:r>
      <w:r>
        <w:rPr>
          <w:rFonts w:eastAsia="SimSun"/>
          <w:szCs w:val="22"/>
          <w:lang w:eastAsia="zh-CN"/>
        </w:rPr>
        <w:t>coefficient quantization for</w:t>
      </w:r>
      <w:r w:rsidRPr="00FF3F9F">
        <w:rPr>
          <w:rFonts w:eastAsia="SimSun"/>
          <w:szCs w:val="22"/>
          <w:lang w:eastAsia="zh-CN"/>
        </w:rPr>
        <w:t xml:space="preserve"> Rel-18 codebook</w:t>
      </w:r>
      <w:r w:rsidR="00302AC5">
        <w:rPr>
          <w:rFonts w:eastAsia="SimSun"/>
          <w:szCs w:val="22"/>
          <w:lang w:eastAsia="zh-CN"/>
        </w:rPr>
        <w:t xml:space="preserve"> </w:t>
      </w:r>
      <w:r w:rsidR="00302AC5">
        <w:rPr>
          <w:rFonts w:eastAsia="SimSun"/>
          <w:szCs w:val="22"/>
          <w:lang w:eastAsia="zh-CN"/>
        </w:rPr>
        <w:fldChar w:fldCharType="begin"/>
      </w:r>
      <w:r w:rsidR="00302AC5">
        <w:rPr>
          <w:rFonts w:eastAsia="SimSun"/>
          <w:szCs w:val="22"/>
          <w:lang w:eastAsia="zh-CN"/>
        </w:rPr>
        <w:instrText xml:space="preserve"> REF _Ref117178204 \r \h </w:instrText>
      </w:r>
      <w:r w:rsidR="00302AC5">
        <w:rPr>
          <w:rFonts w:eastAsia="SimSun"/>
          <w:szCs w:val="22"/>
          <w:lang w:eastAsia="zh-CN"/>
        </w:rPr>
      </w:r>
      <w:r w:rsidR="00302AC5">
        <w:rPr>
          <w:rFonts w:eastAsia="SimSun"/>
          <w:szCs w:val="22"/>
          <w:lang w:eastAsia="zh-CN"/>
        </w:rPr>
        <w:fldChar w:fldCharType="separate"/>
      </w:r>
      <w:r w:rsidR="00302AC5">
        <w:rPr>
          <w:rFonts w:eastAsia="SimSun"/>
          <w:szCs w:val="22"/>
          <w:lang w:eastAsia="zh-CN"/>
        </w:rPr>
        <w:t>[</w:t>
      </w:r>
      <w:r w:rsidR="00876EA4">
        <w:rPr>
          <w:rFonts w:eastAsia="SimSun"/>
          <w:szCs w:val="22"/>
          <w:lang w:eastAsia="zh-CN"/>
        </w:rPr>
        <w:t>3</w:t>
      </w:r>
      <w:r w:rsidR="00302AC5">
        <w:rPr>
          <w:rFonts w:eastAsia="SimSun"/>
          <w:szCs w:val="22"/>
          <w:lang w:eastAsia="zh-CN"/>
        </w:rPr>
        <w:t>]</w:t>
      </w:r>
      <w:r w:rsidR="00302AC5">
        <w:rPr>
          <w:rFonts w:eastAsia="SimSun"/>
          <w:szCs w:val="22"/>
          <w:lang w:eastAsia="zh-CN"/>
        </w:rPr>
        <w:fldChar w:fldCharType="end"/>
      </w:r>
      <w:r w:rsidR="00302AC5">
        <w:rPr>
          <w:rFonts w:eastAsia="SimSun"/>
          <w:szCs w:val="22"/>
          <w:lang w:eastAsia="zh-CN"/>
        </w:rPr>
        <w:t>:</w:t>
      </w:r>
    </w:p>
    <w:tbl>
      <w:tblPr>
        <w:tblStyle w:val="TableGrid"/>
        <w:tblW w:w="0" w:type="auto"/>
        <w:tblLook w:val="04A0" w:firstRow="1" w:lastRow="0" w:firstColumn="1" w:lastColumn="0" w:noHBand="0" w:noVBand="1"/>
      </w:tblPr>
      <w:tblGrid>
        <w:gridCol w:w="9631"/>
      </w:tblGrid>
      <w:tr w:rsidR="008F305C" w14:paraId="5FA11CB9" w14:textId="77777777" w:rsidTr="00A70658">
        <w:tc>
          <w:tcPr>
            <w:tcW w:w="9631" w:type="dxa"/>
          </w:tcPr>
          <w:p w14:paraId="4410CD44" w14:textId="77777777" w:rsidR="008F305C" w:rsidRPr="00182599" w:rsidRDefault="008F305C" w:rsidP="00302AC5">
            <w:pPr>
              <w:spacing w:after="0"/>
              <w:jc w:val="both"/>
              <w:rPr>
                <w:b/>
                <w:bCs/>
                <w:lang w:val="en-GB"/>
              </w:rPr>
            </w:pPr>
            <w:r w:rsidRPr="00182599">
              <w:rPr>
                <w:b/>
                <w:bCs/>
                <w:highlight w:val="green"/>
                <w:lang w:val="en-GB"/>
              </w:rPr>
              <w:lastRenderedPageBreak/>
              <w:t>Agreement</w:t>
            </w:r>
          </w:p>
          <w:p w14:paraId="2AE7CD43" w14:textId="77777777" w:rsidR="008F305C" w:rsidRPr="005A1261" w:rsidRDefault="008F305C" w:rsidP="00302AC5">
            <w:pPr>
              <w:spacing w:after="0"/>
              <w:jc w:val="both"/>
            </w:pPr>
            <w:r w:rsidRPr="005A1261">
              <w:rPr>
                <w:lang w:val="en-GB"/>
              </w:rPr>
              <w:t>On the Type-II codebook refinement for CJT mTRP, regarding W2 quantization group, for each layer:</w:t>
            </w:r>
          </w:p>
          <w:p w14:paraId="19BA5491" w14:textId="77777777" w:rsidR="008F305C" w:rsidRPr="005A1261" w:rsidRDefault="008F305C" w:rsidP="00F4114D">
            <w:pPr>
              <w:numPr>
                <w:ilvl w:val="0"/>
                <w:numId w:val="11"/>
              </w:numPr>
              <w:spacing w:after="0"/>
              <w:jc w:val="both"/>
            </w:pPr>
            <w:r w:rsidRPr="005A1261">
              <w:rPr>
                <w:lang w:val="en-GB"/>
              </w:rPr>
              <w:t>Support the following: (Alt1) One group comprises one polarization across all N CSI-RS resources (</w:t>
            </w:r>
            <w:r w:rsidRPr="005A1261">
              <w:rPr>
                <w:i/>
                <w:iCs/>
                <w:lang w:val="en-GB"/>
              </w:rPr>
              <w:t>C</w:t>
            </w:r>
            <w:r w:rsidRPr="005A1261">
              <w:rPr>
                <w:vertAlign w:val="subscript"/>
                <w:lang w:val="en-GB"/>
              </w:rPr>
              <w:t>group,phase</w:t>
            </w:r>
            <w:r w:rsidRPr="005A1261">
              <w:rPr>
                <w:lang w:val="en-GB"/>
              </w:rPr>
              <w:t>=1, </w:t>
            </w:r>
            <w:r w:rsidRPr="005A1261">
              <w:rPr>
                <w:i/>
                <w:iCs/>
                <w:lang w:val="en-GB"/>
              </w:rPr>
              <w:t>C</w:t>
            </w:r>
            <w:r w:rsidRPr="005A1261">
              <w:rPr>
                <w:vertAlign w:val="subscript"/>
                <w:lang w:val="en-GB"/>
              </w:rPr>
              <w:t>group,amp</w:t>
            </w:r>
            <w:r w:rsidRPr="005A1261">
              <w:rPr>
                <w:lang w:val="en-GB"/>
              </w:rPr>
              <w:t>=2)</w:t>
            </w:r>
          </w:p>
          <w:p w14:paraId="1C4AEE42" w14:textId="77777777" w:rsidR="008F305C" w:rsidRPr="005A1261" w:rsidRDefault="008F305C" w:rsidP="00F4114D">
            <w:pPr>
              <w:numPr>
                <w:ilvl w:val="1"/>
                <w:numId w:val="11"/>
              </w:numPr>
              <w:spacing w:after="0"/>
              <w:jc w:val="both"/>
            </w:pPr>
            <w:r w:rsidRPr="005A1261">
              <w:rPr>
                <w:lang w:val="en-GB"/>
              </w:rPr>
              <w:t>FFS: Amplitude quantization table enhancement</w:t>
            </w:r>
          </w:p>
          <w:p w14:paraId="01A31A92" w14:textId="77777777" w:rsidR="008F305C" w:rsidRPr="005A1261" w:rsidRDefault="008F305C" w:rsidP="00F4114D">
            <w:pPr>
              <w:numPr>
                <w:ilvl w:val="1"/>
                <w:numId w:val="11"/>
              </w:numPr>
              <w:spacing w:after="0"/>
              <w:jc w:val="both"/>
            </w:pPr>
            <w:r w:rsidRPr="005A1261">
              <w:rPr>
                <w:lang w:val="en-GB"/>
              </w:rPr>
              <w:t>For the amplitude group other than the group associated with the SCI, the reference amplitude is reported</w:t>
            </w:r>
          </w:p>
          <w:p w14:paraId="693EF62E" w14:textId="77777777" w:rsidR="008F305C" w:rsidRPr="005A1261" w:rsidRDefault="008F305C" w:rsidP="00F4114D">
            <w:pPr>
              <w:numPr>
                <w:ilvl w:val="0"/>
                <w:numId w:val="11"/>
              </w:numPr>
              <w:spacing w:after="0"/>
              <w:jc w:val="both"/>
            </w:pPr>
            <w:r w:rsidRPr="005A1261">
              <w:rPr>
                <w:highlight w:val="darkYellow"/>
                <w:lang w:val="en-GB"/>
              </w:rPr>
              <w:t>Working assumption</w:t>
            </w:r>
            <w:r w:rsidRPr="005A1261">
              <w:rPr>
                <w:lang w:val="en-GB"/>
              </w:rPr>
              <w:t>: Alt3 is supported in addition to Alt1 (to be confirmed in RAN1#111)</w:t>
            </w:r>
          </w:p>
          <w:p w14:paraId="2F7723D2" w14:textId="77777777" w:rsidR="008F305C" w:rsidRPr="005A1261" w:rsidRDefault="008F305C" w:rsidP="00F4114D">
            <w:pPr>
              <w:numPr>
                <w:ilvl w:val="1"/>
                <w:numId w:val="11"/>
              </w:numPr>
              <w:spacing w:after="0"/>
              <w:jc w:val="both"/>
            </w:pPr>
            <w:r w:rsidRPr="005A1261">
              <w:rPr>
                <w:lang w:val="en-GB"/>
              </w:rPr>
              <w:t>(Alt3). One group comprises one polarization for one CSI-RS resource with a common phase reference across N CSI-RS resources (C</w:t>
            </w:r>
            <w:r w:rsidRPr="005A1261">
              <w:rPr>
                <w:vertAlign w:val="subscript"/>
                <w:lang w:val="en-GB"/>
              </w:rPr>
              <w:t>group,phase</w:t>
            </w:r>
            <w:r w:rsidRPr="005A1261">
              <w:rPr>
                <w:lang w:val="en-GB"/>
              </w:rPr>
              <w:t>=1, C</w:t>
            </w:r>
            <w:r w:rsidRPr="005A1261">
              <w:rPr>
                <w:vertAlign w:val="subscript"/>
                <w:lang w:val="en-GB"/>
              </w:rPr>
              <w:t>group,amp</w:t>
            </w:r>
            <w:r w:rsidRPr="005A1261">
              <w:rPr>
                <w:lang w:val="en-GB"/>
              </w:rPr>
              <w:t>=2N)</w:t>
            </w:r>
          </w:p>
          <w:p w14:paraId="08A5FDD1" w14:textId="77777777" w:rsidR="008F305C" w:rsidRPr="005A1261" w:rsidRDefault="008F305C" w:rsidP="00F4114D">
            <w:pPr>
              <w:numPr>
                <w:ilvl w:val="2"/>
                <w:numId w:val="11"/>
              </w:numPr>
              <w:spacing w:after="0"/>
              <w:jc w:val="both"/>
            </w:pPr>
            <w:r w:rsidRPr="005A1261">
              <w:rPr>
                <w:lang w:val="en-GB"/>
              </w:rPr>
              <w:t>For each of the (2N–1) amplitude groups (other than the group associated with the SCI), the reference amplitude is reported</w:t>
            </w:r>
          </w:p>
          <w:p w14:paraId="5C5C6525" w14:textId="09F7138E" w:rsidR="008F305C" w:rsidRPr="00FF3F9F" w:rsidRDefault="008F305C" w:rsidP="00F4114D">
            <w:pPr>
              <w:numPr>
                <w:ilvl w:val="0"/>
                <w:numId w:val="11"/>
              </w:numPr>
              <w:spacing w:after="0"/>
              <w:jc w:val="both"/>
            </w:pPr>
            <w:r w:rsidRPr="005A1261">
              <w:rPr>
                <w:lang w:val="en-GB"/>
              </w:rPr>
              <w:t>If the support Alt3 in addition to Alt1 is confirmed, only one of the two schemes will be a basic feature for UEs supporting Rel-18 Type-II CJT codebook</w:t>
            </w:r>
          </w:p>
        </w:tc>
      </w:tr>
    </w:tbl>
    <w:p w14:paraId="42D7CEB5" w14:textId="77777777" w:rsidR="008F305C" w:rsidRDefault="008F305C" w:rsidP="008F305C">
      <w:pPr>
        <w:rPr>
          <w:lang w:val="en-GB"/>
        </w:rPr>
      </w:pPr>
    </w:p>
    <w:p w14:paraId="66B5DC71" w14:textId="670E7556" w:rsidR="008F305C" w:rsidRDefault="000E22B3" w:rsidP="00D44DA4">
      <w:pPr>
        <w:jc w:val="both"/>
        <w:rPr>
          <w:lang w:val="en-GB"/>
        </w:rPr>
      </w:pPr>
      <w:r>
        <w:rPr>
          <w:lang w:val="en-GB"/>
        </w:rPr>
        <w:t>Two</w:t>
      </w:r>
      <w:r w:rsidR="008F305C">
        <w:rPr>
          <w:lang w:val="en-GB"/>
        </w:rPr>
        <w:t xml:space="preserve"> meeting</w:t>
      </w:r>
      <w:r w:rsidR="005B0B6D">
        <w:rPr>
          <w:lang w:val="en-GB"/>
        </w:rPr>
        <w:t>s</w:t>
      </w:r>
      <w:r>
        <w:rPr>
          <w:lang w:val="en-GB"/>
        </w:rPr>
        <w:t xml:space="preserve"> ago</w:t>
      </w:r>
      <w:r w:rsidR="008F305C">
        <w:rPr>
          <w:lang w:val="en-GB"/>
        </w:rPr>
        <w:t xml:space="preserve">, it was agreed to support quantization Alt 1 – with </w:t>
      </w:r>
      <w:r w:rsidR="008F305C" w:rsidRPr="005A1261">
        <w:rPr>
          <w:i/>
          <w:iCs/>
          <w:lang w:val="en-GB"/>
        </w:rPr>
        <w:t>C</w:t>
      </w:r>
      <w:r w:rsidR="008F305C" w:rsidRPr="005A1261">
        <w:rPr>
          <w:vertAlign w:val="subscript"/>
          <w:lang w:val="en-GB"/>
        </w:rPr>
        <w:t>group,phase</w:t>
      </w:r>
      <w:r w:rsidR="008F305C" w:rsidRPr="005A1261">
        <w:rPr>
          <w:lang w:val="en-GB"/>
        </w:rPr>
        <w:t>=1</w:t>
      </w:r>
      <w:r w:rsidR="008F305C">
        <w:rPr>
          <w:lang w:val="en-GB"/>
        </w:rPr>
        <w:t>and</w:t>
      </w:r>
      <w:r w:rsidR="008F305C" w:rsidRPr="005A1261">
        <w:rPr>
          <w:lang w:val="en-GB"/>
        </w:rPr>
        <w:t> </w:t>
      </w:r>
      <w:r w:rsidR="008F305C" w:rsidRPr="005A1261">
        <w:rPr>
          <w:i/>
          <w:iCs/>
          <w:lang w:val="en-GB"/>
        </w:rPr>
        <w:t>C</w:t>
      </w:r>
      <w:r w:rsidR="008F305C" w:rsidRPr="005A1261">
        <w:rPr>
          <w:vertAlign w:val="subscript"/>
          <w:lang w:val="en-GB"/>
        </w:rPr>
        <w:t>group,amp</w:t>
      </w:r>
      <w:r w:rsidR="008F305C" w:rsidRPr="005A1261">
        <w:rPr>
          <w:lang w:val="en-GB"/>
        </w:rPr>
        <w:t>=2</w:t>
      </w:r>
      <w:r w:rsidR="008F305C">
        <w:rPr>
          <w:lang w:val="en-GB"/>
        </w:rPr>
        <w:t xml:space="preserve"> for the Rel-18 Type II codebook for CJT. However, there were extensive discussions on Alt 3 – which differs from Alt 1 by having </w:t>
      </w:r>
      <w:r w:rsidR="008F305C" w:rsidRPr="005A1261">
        <w:rPr>
          <w:i/>
          <w:iCs/>
          <w:lang w:val="en-GB"/>
        </w:rPr>
        <w:t>C</w:t>
      </w:r>
      <w:r w:rsidR="008F305C" w:rsidRPr="005A1261">
        <w:rPr>
          <w:vertAlign w:val="subscript"/>
          <w:lang w:val="en-GB"/>
        </w:rPr>
        <w:t>group,amp</w:t>
      </w:r>
      <w:r w:rsidR="008F305C" w:rsidRPr="005A1261">
        <w:rPr>
          <w:lang w:val="en-GB"/>
        </w:rPr>
        <w:t>=2</w:t>
      </w:r>
      <w:r w:rsidR="008F305C">
        <w:rPr>
          <w:lang w:val="en-GB"/>
        </w:rPr>
        <w:t>N, i.e., each polarization of each TRP having its own amplitude reference. It was argued that such amplitude reference would improve performance in geographically distant TRP deployments.</w:t>
      </w:r>
    </w:p>
    <w:p w14:paraId="629E6282" w14:textId="77777777" w:rsidR="00CD6E23" w:rsidRDefault="008F305C" w:rsidP="00D44DA4">
      <w:pPr>
        <w:jc w:val="both"/>
        <w:rPr>
          <w:lang w:val="en-GB"/>
        </w:rPr>
      </w:pPr>
      <w:r>
        <w:rPr>
          <w:lang w:val="en-GB"/>
        </w:rPr>
        <w:t xml:space="preserve">However, amplitude variations across distant TRPs are implicitly taken care in the precoder computation from the joint mTRP channel and consequently in quantization Alt 1. Having separate amplitude references would artificially boost the number of NZC, thereby increasing overhead but not contributing meaningfully to performance improvement. </w:t>
      </w:r>
      <w:r w:rsidR="005B0B6D">
        <w:rPr>
          <w:lang w:val="en-GB"/>
        </w:rPr>
        <w:t xml:space="preserve">Moreover, following the rationale of multi-TRP transmissions to ensure uniform coverage to all UEs, as long as the UE is </w:t>
      </w:r>
      <w:r w:rsidR="00CD6E23">
        <w:rPr>
          <w:lang w:val="en-GB"/>
        </w:rPr>
        <w:t>close to one or two TRPs in the coordinating set, a single reference amplitude is enough to reap the benefit of CJT.</w:t>
      </w:r>
    </w:p>
    <w:p w14:paraId="09E0E55A" w14:textId="40E4ED64" w:rsidR="00147FA4" w:rsidRDefault="00FC053A" w:rsidP="00147FA4">
      <w:pPr>
        <w:jc w:val="both"/>
        <w:rPr>
          <w:lang w:val="en-GB"/>
        </w:rPr>
      </w:pPr>
      <w:r>
        <w:rPr>
          <w:lang w:val="en-GB"/>
        </w:rPr>
        <w:t>To</w:t>
      </w:r>
      <w:r w:rsidR="00CD6E23">
        <w:rPr>
          <w:lang w:val="en-GB"/>
        </w:rPr>
        <w:t xml:space="preserve"> support our arguments, we provide simulation</w:t>
      </w:r>
      <w:r w:rsidR="007D378F">
        <w:rPr>
          <w:lang w:val="en-GB"/>
        </w:rPr>
        <w:t xml:space="preserve"> results comparing the performance of Alt 1 and Alt 3 in</w:t>
      </w:r>
      <w:r w:rsidR="00876EA4">
        <w:rPr>
          <w:lang w:val="en-GB"/>
        </w:rPr>
        <w:t xml:space="preserve"> </w:t>
      </w:r>
      <w:r>
        <w:rPr>
          <w:lang w:val="en-GB"/>
        </w:rPr>
        <w:t xml:space="preserve">Fig. </w:t>
      </w:r>
      <w:r w:rsidR="009B776E">
        <w:rPr>
          <w:lang w:val="en-GB"/>
        </w:rPr>
        <w:t>4</w:t>
      </w:r>
      <w:r w:rsidR="007D378F">
        <w:rPr>
          <w:lang w:val="en-GB"/>
        </w:rPr>
        <w:t>. The simulation scenario and settings are as explained earlier.</w:t>
      </w:r>
      <w:r w:rsidR="00876EA4">
        <w:rPr>
          <w:lang w:val="en-GB"/>
        </w:rPr>
        <w:t xml:space="preserve"> </w:t>
      </w:r>
      <w:r w:rsidR="00147FA4">
        <w:rPr>
          <w:lang w:val="en-GB"/>
        </w:rPr>
        <w:t xml:space="preserve">From the results, we observe that Alt 3 cannot provide consistent performance benefit over Alt 1. Further, the cost of this little performance benefit </w:t>
      </w:r>
      <w:r>
        <w:rPr>
          <w:lang w:val="en-GB"/>
        </w:rPr>
        <w:t>must</w:t>
      </w:r>
      <w:r w:rsidR="00147FA4">
        <w:rPr>
          <w:lang w:val="en-GB"/>
        </w:rPr>
        <w:t xml:space="preserve"> be borne by the increased overhead of feeding back multiple reference amplitudes. Therefore, supporting quantization Alt 3 is not necessary.</w:t>
      </w:r>
    </w:p>
    <w:p w14:paraId="6D55A67C" w14:textId="3FD4FE00" w:rsidR="00147FA4" w:rsidRDefault="00147FA4" w:rsidP="00147FA4">
      <w:pPr>
        <w:jc w:val="both"/>
        <w:rPr>
          <w:lang w:val="en-GB"/>
        </w:rPr>
      </w:pPr>
      <w:r w:rsidRPr="00165892">
        <w:rPr>
          <w:b/>
          <w:bCs/>
        </w:rPr>
        <w:t>Proposal</w:t>
      </w:r>
      <w:r w:rsidR="00E71D0D">
        <w:rPr>
          <w:b/>
          <w:bCs/>
        </w:rPr>
        <w:t xml:space="preserve"> 13</w:t>
      </w:r>
      <w:r w:rsidRPr="00165892">
        <w:rPr>
          <w:lang w:val="en-GB"/>
        </w:rPr>
        <w:t>:</w:t>
      </w:r>
      <w:r>
        <w:rPr>
          <w:lang w:val="en-GB"/>
        </w:rPr>
        <w:t xml:space="preserve"> For Rel-18 Type II codebook for CJT, revert the working assumption on quantization Alt 3.</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5"/>
        <w:gridCol w:w="4836"/>
      </w:tblGrid>
      <w:tr w:rsidR="00ED5771" w14:paraId="1561C96F" w14:textId="77777777" w:rsidTr="00A949C5">
        <w:tc>
          <w:tcPr>
            <w:tcW w:w="4815" w:type="dxa"/>
          </w:tcPr>
          <w:p w14:paraId="2863C276" w14:textId="24EFE410" w:rsidR="00371F71" w:rsidRDefault="00650DC0" w:rsidP="00D44DA4">
            <w:pPr>
              <w:jc w:val="both"/>
              <w:rPr>
                <w:lang w:val="en-GB"/>
              </w:rPr>
            </w:pPr>
            <w:r w:rsidRPr="00650DC0">
              <w:rPr>
                <w:noProof/>
              </w:rPr>
              <w:drawing>
                <wp:inline distT="0" distB="0" distL="0" distR="0" wp14:anchorId="220CFD1A" wp14:editId="4046E2C5">
                  <wp:extent cx="2825750" cy="2501900"/>
                  <wp:effectExtent l="0" t="0" r="12700" b="12700"/>
                  <wp:docPr id="3" name="Chart 3">
                    <a:extLst xmlns:a="http://schemas.openxmlformats.org/drawingml/2006/main">
                      <a:ext uri="{FF2B5EF4-FFF2-40B4-BE49-F238E27FC236}">
                        <a16:creationId xmlns:a16="http://schemas.microsoft.com/office/drawing/2014/main" id="{06AC6105-7736-4718-8AAB-1C53FA8473E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c>
          <w:tcPr>
            <w:tcW w:w="4816" w:type="dxa"/>
          </w:tcPr>
          <w:p w14:paraId="1627F153" w14:textId="7B472F2B" w:rsidR="00371F71" w:rsidRDefault="00650DC0" w:rsidP="00876EA4">
            <w:pPr>
              <w:keepNext/>
              <w:jc w:val="both"/>
              <w:rPr>
                <w:lang w:val="en-GB"/>
              </w:rPr>
            </w:pPr>
            <w:r w:rsidRPr="00650DC0">
              <w:rPr>
                <w:noProof/>
              </w:rPr>
              <w:drawing>
                <wp:inline distT="0" distB="0" distL="0" distR="0" wp14:anchorId="74E98C03" wp14:editId="4C2A98BC">
                  <wp:extent cx="2933700" cy="2501900"/>
                  <wp:effectExtent l="0" t="0" r="0" b="12700"/>
                  <wp:docPr id="6" name="Chart 6">
                    <a:extLst xmlns:a="http://schemas.openxmlformats.org/drawingml/2006/main">
                      <a:ext uri="{FF2B5EF4-FFF2-40B4-BE49-F238E27FC236}">
                        <a16:creationId xmlns:a16="http://schemas.microsoft.com/office/drawing/2014/main" id="{C6BC88CC-7825-4C96-9B35-4A0074912D7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14:paraId="712AAF5A" w14:textId="412358C5" w:rsidR="008F305C" w:rsidRDefault="00876EA4" w:rsidP="00876EA4">
      <w:pPr>
        <w:pStyle w:val="Caption"/>
        <w:jc w:val="center"/>
      </w:pPr>
      <w:bookmarkStart w:id="3" w:name="_Ref127455531"/>
      <w:r>
        <w:t xml:space="preserve">Figure </w:t>
      </w:r>
      <w:bookmarkEnd w:id="3"/>
      <w:r w:rsidR="009B776E">
        <w:t>4</w:t>
      </w:r>
      <w:r>
        <w:t xml:space="preserve"> </w:t>
      </w:r>
      <w:r w:rsidRPr="00876EA4">
        <w:rPr>
          <w:b w:val="0"/>
          <w:bCs/>
        </w:rPr>
        <w:t>Performance comparison of quantization Alt 1 and Alt 3</w:t>
      </w:r>
    </w:p>
    <w:p w14:paraId="280525BC" w14:textId="50753460" w:rsidR="00DE6355" w:rsidRPr="00DE6355" w:rsidRDefault="00DE6355" w:rsidP="00DE6355">
      <w:pPr>
        <w:rPr>
          <w:szCs w:val="22"/>
          <w:lang w:val="en-GB"/>
        </w:rPr>
      </w:pPr>
    </w:p>
    <w:bookmarkEnd w:id="0"/>
    <w:bookmarkEnd w:id="1"/>
    <w:p w14:paraId="1B494E2A" w14:textId="08910CE6" w:rsidR="00EA11D1" w:rsidRDefault="00EA11D1" w:rsidP="00EA11D1">
      <w:pPr>
        <w:pStyle w:val="Heading1"/>
        <w:numPr>
          <w:ilvl w:val="0"/>
          <w:numId w:val="1"/>
        </w:numPr>
        <w:jc w:val="both"/>
        <w:rPr>
          <w:rFonts w:eastAsia="MS Mincho" w:cs="Arial"/>
          <w:b/>
          <w:sz w:val="32"/>
          <w:szCs w:val="32"/>
          <w:lang w:val="en-US"/>
        </w:rPr>
      </w:pPr>
      <w:r>
        <w:rPr>
          <w:rFonts w:eastAsia="MS Mincho" w:cs="Arial"/>
          <w:b/>
          <w:sz w:val="32"/>
          <w:szCs w:val="32"/>
          <w:lang w:val="en-US"/>
        </w:rPr>
        <w:lastRenderedPageBreak/>
        <w:t>Conclusion</w:t>
      </w:r>
    </w:p>
    <w:p w14:paraId="24CBF96D" w14:textId="6D3A6C13" w:rsidR="00AB5D12" w:rsidRPr="00AB5D12" w:rsidRDefault="00AB5D12" w:rsidP="00AB5D12">
      <w:pPr>
        <w:jc w:val="both"/>
        <w:rPr>
          <w:bCs/>
          <w:lang w:eastAsia="zh-TW"/>
        </w:rPr>
      </w:pPr>
      <w:r w:rsidRPr="00AB5D12">
        <w:rPr>
          <w:bCs/>
          <w:lang w:eastAsia="zh-TW"/>
        </w:rPr>
        <w:t>In summary, based on the above discussion we have the following observations and proposals:</w:t>
      </w:r>
    </w:p>
    <w:p w14:paraId="7550F40F" w14:textId="77777777" w:rsidR="001A3212" w:rsidRPr="004027F9" w:rsidRDefault="001A3212" w:rsidP="00AB5D12">
      <w:pPr>
        <w:jc w:val="both"/>
        <w:rPr>
          <w:bCs/>
          <w:lang w:val="en-GB" w:eastAsia="zh-TW"/>
        </w:rPr>
      </w:pPr>
    </w:p>
    <w:p w14:paraId="59640BFE" w14:textId="77777777" w:rsidR="00E71D0D" w:rsidRDefault="00E71D0D" w:rsidP="00E71D0D">
      <w:pPr>
        <w:jc w:val="both"/>
        <w:rPr>
          <w:lang w:val="en-GB"/>
        </w:rPr>
      </w:pPr>
      <w:r w:rsidRPr="00E71D0D">
        <w:rPr>
          <w:b/>
          <w:bCs/>
          <w:i/>
          <w:iCs/>
          <w:lang w:val="en-GB"/>
        </w:rPr>
        <w:t>Observation 1:</w:t>
      </w:r>
      <w:r>
        <w:rPr>
          <w:lang w:val="en-GB"/>
        </w:rPr>
        <w:t xml:space="preserve"> For good channel prediction performance, it is necessary that all K CSI-RS occasions share as many similarities as possible in the space and frequency dimensions.</w:t>
      </w:r>
    </w:p>
    <w:p w14:paraId="351CBE45" w14:textId="0F509694" w:rsidR="00E71D0D" w:rsidRDefault="00E71D0D" w:rsidP="00E71D0D">
      <w:pPr>
        <w:jc w:val="both"/>
      </w:pPr>
      <w:r w:rsidRPr="00E71D0D">
        <w:rPr>
          <w:b/>
          <w:bCs/>
          <w:i/>
          <w:iCs/>
        </w:rPr>
        <w:t>Observation 2:</w:t>
      </w:r>
      <w:r>
        <w:t xml:space="preserve"> CPU occupation rule needs to accommodate the buffering of </w:t>
      </w:r>
      <m:oMath>
        <m:r>
          <w:rPr>
            <w:rFonts w:ascii="Cambria Math" w:hAnsi="Cambria Math"/>
          </w:rPr>
          <m:t>≤K</m:t>
        </m:r>
      </m:oMath>
      <w:r>
        <w:t xml:space="preserve"> CSI-RS occasions in addition to channel prediction, SVD computation of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t xml:space="preserve"> channel matrices, and FD and DD compression.</w:t>
      </w:r>
    </w:p>
    <w:p w14:paraId="691B5232" w14:textId="360515E2" w:rsidR="00E71D0D" w:rsidRDefault="00E71D0D" w:rsidP="00E71D0D">
      <w:pPr>
        <w:pStyle w:val="ListParagraph"/>
        <w:ind w:left="0"/>
        <w:rPr>
          <w:lang w:val="en-GB"/>
        </w:rPr>
      </w:pPr>
      <w:r w:rsidRPr="00FA1551">
        <w:rPr>
          <w:b/>
          <w:bCs/>
          <w:i/>
          <w:iCs/>
          <w:lang w:val="en-GB"/>
        </w:rPr>
        <w:t>Observation</w:t>
      </w:r>
      <w:r>
        <w:rPr>
          <w:b/>
          <w:bCs/>
          <w:i/>
          <w:iCs/>
          <w:lang w:val="en-GB"/>
        </w:rPr>
        <w:t xml:space="preserve"> </w:t>
      </w:r>
      <w:r w:rsidR="007C32CE">
        <w:rPr>
          <w:b/>
          <w:bCs/>
          <w:i/>
          <w:iCs/>
          <w:lang w:val="en-GB"/>
        </w:rPr>
        <w:t>3</w:t>
      </w:r>
      <w:r>
        <w:rPr>
          <w:lang w:val="en-GB"/>
        </w:rPr>
        <w:t>: Amplitude quantization using alternatives 4 and 4A assumes prior knowledge on the gNB side regarding the range of values of interest for the TDCP amplitude. This assumption is questionable.</w:t>
      </w:r>
    </w:p>
    <w:p w14:paraId="582D4658" w14:textId="400884C4" w:rsidR="00E71D0D" w:rsidRDefault="00E71D0D" w:rsidP="00E71D0D">
      <w:pPr>
        <w:pStyle w:val="ListParagraph"/>
        <w:ind w:left="0"/>
        <w:rPr>
          <w:lang w:val="en-GB"/>
        </w:rPr>
      </w:pPr>
      <w:r w:rsidRPr="00FA1551">
        <w:rPr>
          <w:b/>
          <w:bCs/>
          <w:i/>
          <w:iCs/>
          <w:lang w:val="en-GB"/>
        </w:rPr>
        <w:t>Observation</w:t>
      </w:r>
      <w:r>
        <w:rPr>
          <w:b/>
          <w:bCs/>
          <w:i/>
          <w:iCs/>
          <w:lang w:val="en-GB"/>
        </w:rPr>
        <w:t xml:space="preserve"> </w:t>
      </w:r>
      <w:r w:rsidR="007C32CE">
        <w:rPr>
          <w:b/>
          <w:bCs/>
          <w:i/>
          <w:iCs/>
          <w:lang w:val="en-GB"/>
        </w:rPr>
        <w:t>4</w:t>
      </w:r>
      <w:r>
        <w:rPr>
          <w:lang w:val="en-GB"/>
        </w:rPr>
        <w:t>: Amplitude quantization using alternatives 4 and 4A will not work well when multiple TDCP coefficients are reported since there is no guarantee their values will lie in the range of interest dictated by the value N.</w:t>
      </w:r>
    </w:p>
    <w:p w14:paraId="13AFF119" w14:textId="49B41408" w:rsidR="00E71D0D" w:rsidRPr="00E71D0D" w:rsidRDefault="00E71D0D" w:rsidP="00E71D0D">
      <w:r w:rsidRPr="00F80375">
        <w:rPr>
          <w:b/>
          <w:bCs/>
          <w:i/>
          <w:iCs/>
        </w:rPr>
        <w:t>Observation</w:t>
      </w:r>
      <w:r>
        <w:rPr>
          <w:b/>
          <w:bCs/>
          <w:i/>
          <w:iCs/>
        </w:rPr>
        <w:t xml:space="preserve"> </w:t>
      </w:r>
      <w:r w:rsidR="007C32CE">
        <w:rPr>
          <w:b/>
          <w:bCs/>
          <w:i/>
          <w:iCs/>
        </w:rPr>
        <w:t>5</w:t>
      </w:r>
      <w:r w:rsidRPr="00F80375">
        <w:rPr>
          <w:b/>
          <w:bCs/>
          <w:i/>
          <w:iCs/>
        </w:rPr>
        <w:t>:</w:t>
      </w:r>
      <w:r>
        <w:t xml:space="preserve"> For the optional TDCP feature where multiple coefficients are reported, it is unlikely that coefficients with large delays will have phases close to 0.</w:t>
      </w:r>
    </w:p>
    <w:p w14:paraId="21AD6BAE" w14:textId="40F18F8B" w:rsidR="00E71D0D" w:rsidRDefault="00E71D0D" w:rsidP="00E71D0D">
      <w:pPr>
        <w:spacing w:after="0"/>
        <w:contextualSpacing/>
        <w:rPr>
          <w:rFonts w:eastAsia="Times New Roman"/>
          <w:szCs w:val="28"/>
          <w:lang w:eastAsia="zh-CN"/>
        </w:rPr>
      </w:pPr>
      <w:r w:rsidRPr="00E71D0D">
        <w:rPr>
          <w:rFonts w:eastAsia="Times New Roman"/>
          <w:b/>
          <w:bCs/>
          <w:i/>
          <w:iCs/>
          <w:szCs w:val="28"/>
          <w:lang w:eastAsia="zh-CN"/>
        </w:rPr>
        <w:t xml:space="preserve">Observation </w:t>
      </w:r>
      <w:r w:rsidR="007C32CE">
        <w:rPr>
          <w:rFonts w:eastAsia="Times New Roman"/>
          <w:b/>
          <w:bCs/>
          <w:i/>
          <w:iCs/>
          <w:szCs w:val="28"/>
          <w:lang w:eastAsia="zh-CN"/>
        </w:rPr>
        <w:t>6</w:t>
      </w:r>
      <w:r w:rsidRPr="00E71D0D">
        <w:rPr>
          <w:rFonts w:eastAsia="Times New Roman"/>
          <w:szCs w:val="28"/>
          <w:lang w:eastAsia="zh-CN"/>
        </w:rPr>
        <w:t>: It is best to keep TDCP calculations for the basic TDCP feature contained within a single TRS burst.</w:t>
      </w:r>
    </w:p>
    <w:p w14:paraId="7CB503D4" w14:textId="77777777" w:rsidR="00E71D0D" w:rsidRPr="00E71D0D" w:rsidRDefault="00E71D0D" w:rsidP="00E71D0D">
      <w:pPr>
        <w:spacing w:after="0"/>
        <w:contextualSpacing/>
        <w:rPr>
          <w:rFonts w:eastAsia="Times New Roman"/>
          <w:szCs w:val="28"/>
          <w:lang w:eastAsia="zh-CN"/>
        </w:rPr>
      </w:pPr>
    </w:p>
    <w:p w14:paraId="4DDAA2BB" w14:textId="7B82F09E" w:rsidR="00E71D0D" w:rsidRDefault="00E71D0D" w:rsidP="00E71D0D">
      <w:pPr>
        <w:spacing w:after="0"/>
        <w:contextualSpacing/>
        <w:rPr>
          <w:rFonts w:eastAsia="Times New Roman"/>
          <w:szCs w:val="28"/>
          <w:lang w:eastAsia="zh-CN"/>
        </w:rPr>
      </w:pPr>
      <w:r w:rsidRPr="002D2605">
        <w:rPr>
          <w:rFonts w:eastAsia="Times New Roman"/>
          <w:b/>
          <w:bCs/>
          <w:i/>
          <w:iCs/>
          <w:szCs w:val="28"/>
          <w:lang w:eastAsia="zh-CN"/>
        </w:rPr>
        <w:t>Observation</w:t>
      </w:r>
      <w:r>
        <w:rPr>
          <w:rFonts w:eastAsia="Times New Roman"/>
          <w:b/>
          <w:bCs/>
          <w:i/>
          <w:iCs/>
          <w:szCs w:val="28"/>
          <w:lang w:eastAsia="zh-CN"/>
        </w:rPr>
        <w:t xml:space="preserve"> </w:t>
      </w:r>
      <w:r w:rsidR="007C32CE">
        <w:rPr>
          <w:rFonts w:eastAsia="Times New Roman"/>
          <w:b/>
          <w:bCs/>
          <w:i/>
          <w:iCs/>
          <w:szCs w:val="28"/>
          <w:lang w:eastAsia="zh-CN"/>
        </w:rPr>
        <w:t>7</w:t>
      </w:r>
      <w:r>
        <w:rPr>
          <w:rFonts w:eastAsia="Times New Roman"/>
          <w:szCs w:val="28"/>
          <w:lang w:eastAsia="zh-CN"/>
        </w:rPr>
        <w:t xml:space="preserve">: The TDCP computational complexity scales linearly with the number of TRS bursts (also the number of TDCP coefficients </w:t>
      </w:r>
      <m:oMath>
        <m:r>
          <w:rPr>
            <w:rFonts w:ascii="Cambria Math" w:eastAsia="Times New Roman" w:hAnsi="Cambria Math"/>
            <w:szCs w:val="28"/>
            <w:lang w:eastAsia="zh-CN"/>
          </w:rPr>
          <m:t>Y</m:t>
        </m:r>
      </m:oMath>
      <w:r>
        <w:rPr>
          <w:rFonts w:eastAsia="Times New Roman"/>
          <w:szCs w:val="28"/>
          <w:lang w:eastAsia="zh-CN"/>
        </w:rPr>
        <w:t>).</w:t>
      </w:r>
    </w:p>
    <w:p w14:paraId="2706D5F7" w14:textId="77777777" w:rsidR="00E71D0D" w:rsidRPr="00E71D0D" w:rsidRDefault="00E71D0D" w:rsidP="00E71D0D">
      <w:pPr>
        <w:spacing w:after="0"/>
        <w:contextualSpacing/>
        <w:rPr>
          <w:rFonts w:eastAsia="Times New Roman"/>
          <w:szCs w:val="28"/>
          <w:lang w:eastAsia="zh-CN"/>
        </w:rPr>
      </w:pPr>
    </w:p>
    <w:p w14:paraId="3F37C925" w14:textId="52A8E978" w:rsidR="00E71D0D" w:rsidRDefault="00E71D0D" w:rsidP="00E71D0D">
      <w:r w:rsidRPr="00E71D0D">
        <w:rPr>
          <w:rFonts w:eastAsia="Times New Roman"/>
          <w:b/>
          <w:bCs/>
          <w:i/>
          <w:iCs/>
          <w:szCs w:val="28"/>
          <w:lang w:eastAsia="zh-CN"/>
        </w:rPr>
        <w:t xml:space="preserve">Observation </w:t>
      </w:r>
      <w:r w:rsidR="007C32CE">
        <w:rPr>
          <w:rFonts w:eastAsia="Times New Roman"/>
          <w:b/>
          <w:bCs/>
          <w:i/>
          <w:iCs/>
          <w:szCs w:val="28"/>
          <w:lang w:eastAsia="zh-CN"/>
        </w:rPr>
        <w:t>8</w:t>
      </w:r>
      <w:r w:rsidRPr="00E71D0D">
        <w:rPr>
          <w:rFonts w:eastAsia="Times New Roman"/>
          <w:b/>
          <w:bCs/>
          <w:i/>
          <w:iCs/>
          <w:szCs w:val="28"/>
          <w:lang w:eastAsia="zh-CN"/>
        </w:rPr>
        <w:t>:</w:t>
      </w:r>
      <w:r>
        <w:t xml:space="preserve"> With different powerControlOffsets for different CSI-RS resources (Alt 1), the UE needs to introduce these scaling offsets during the PMI computation stage, which requires new spec definition.</w:t>
      </w:r>
    </w:p>
    <w:p w14:paraId="5A2C6DBA" w14:textId="3E508C10" w:rsidR="00E71D0D" w:rsidRDefault="00E71D0D" w:rsidP="00E71D0D">
      <w:r w:rsidRPr="00E71D0D">
        <w:rPr>
          <w:b/>
          <w:bCs/>
          <w:i/>
          <w:iCs/>
        </w:rPr>
        <w:t xml:space="preserve">Observation </w:t>
      </w:r>
      <w:r w:rsidR="007C32CE">
        <w:rPr>
          <w:b/>
          <w:bCs/>
          <w:i/>
          <w:iCs/>
        </w:rPr>
        <w:t>9</w:t>
      </w:r>
      <w:r w:rsidRPr="00E71D0D">
        <w:rPr>
          <w:b/>
          <w:bCs/>
          <w:i/>
          <w:iCs/>
        </w:rPr>
        <w:t>:</w:t>
      </w:r>
      <w:r>
        <w:t xml:space="preserve"> With different powerControlOffsets for different CSI-RS resources (Alt 1), unless a new behavior is defined in spec for UE behavior, it results in layer orthogonality being destroyed for CJT precoder.</w:t>
      </w:r>
    </w:p>
    <w:p w14:paraId="7CFE356B" w14:textId="3F5444AE" w:rsidR="00E71D0D" w:rsidRDefault="00E71D0D" w:rsidP="00E71D0D">
      <w:pPr>
        <w:jc w:val="both"/>
      </w:pPr>
    </w:p>
    <w:p w14:paraId="1EDB95F7" w14:textId="3A9282B3" w:rsidR="00E71D0D" w:rsidRPr="00E71D0D" w:rsidRDefault="00E71D0D" w:rsidP="00E71D0D">
      <w:pPr>
        <w:jc w:val="both"/>
        <w:rPr>
          <w:lang w:val="en-GB"/>
        </w:rPr>
      </w:pPr>
      <w:r w:rsidRPr="00E71D0D">
        <w:rPr>
          <w:b/>
          <w:bCs/>
          <w:i/>
          <w:iCs/>
          <w:lang w:val="en-GB"/>
        </w:rPr>
        <w:t>Proposal 1:</w:t>
      </w:r>
      <w:r>
        <w:rPr>
          <w:lang w:val="en-GB"/>
        </w:rPr>
        <w:t xml:space="preserve"> For </w:t>
      </w:r>
      <w:r>
        <w:rPr>
          <w:rFonts w:cs="Times"/>
        </w:rPr>
        <w:t>Rel-18 Type-II codebook refinement for high/medium velocities</w:t>
      </w:r>
      <w:r>
        <w:t>,</w:t>
      </w:r>
      <w:r>
        <w:rPr>
          <w:lang w:val="en-GB"/>
        </w:rPr>
        <w:t xml:space="preserve"> all K CSI-RS resources comprising the CMR should share the same QCL state info and density in the frequency domain.</w:t>
      </w:r>
    </w:p>
    <w:p w14:paraId="2ABC3BED" w14:textId="77777777" w:rsidR="00E71D0D" w:rsidRDefault="00E71D0D" w:rsidP="00E71D0D">
      <w:pPr>
        <w:jc w:val="both"/>
        <w:rPr>
          <w:lang w:val="en-GB" w:eastAsia="zh-TW"/>
        </w:rPr>
      </w:pPr>
      <w:r w:rsidRPr="00E71D0D">
        <w:rPr>
          <w:b/>
          <w:bCs/>
          <w:i/>
          <w:iCs/>
        </w:rPr>
        <w:t>Proposal 2:</w:t>
      </w:r>
      <w:r>
        <w:t xml:space="preserve"> For </w:t>
      </w:r>
      <w:r>
        <w:rPr>
          <w:rFonts w:cs="Times"/>
        </w:rPr>
        <w:t xml:space="preserve">Rel-18 Type-II codebook refinement for high/medium velocities, define the CPU occupation rule as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=X⋅</m:t>
        </m:r>
        <m:sSub>
          <m:sSubPr>
            <m:ctrlPr>
              <w:rPr>
                <w:rFonts w:ascii="Cambria Math" w:hAnsi="Cambria Math"/>
                <w:i/>
              </w:rPr>
            </m:ctrlPr>
          </m:sSubPr>
          <m:e>
            <m:r>
              <w:rPr>
                <w:rFonts w:ascii="Cambria Math" w:hAnsi="Cambria Math"/>
              </w:rPr>
              <m:t>N</m:t>
            </m:r>
          </m:e>
          <m:sub>
            <m:r>
              <w:rPr>
                <w:rFonts w:ascii="Cambria Math" w:hAnsi="Cambria Math"/>
              </w:rPr>
              <m:t>4</m:t>
            </m:r>
          </m:sub>
        </m:sSub>
      </m:oMath>
      <w:r>
        <w:rPr>
          <w:rFonts w:cs="Times"/>
        </w:rPr>
        <w:t xml:space="preserve"> for periodic CSI-RS and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=X⋅K</m:t>
        </m:r>
      </m:oMath>
      <w:r>
        <w:rPr>
          <w:rFonts w:cs="Times"/>
        </w:rPr>
        <w:t xml:space="preserve"> for aperiodic CSI-RS, where </w:t>
      </w:r>
      <m:oMath>
        <m:r>
          <w:rPr>
            <w:rFonts w:ascii="Cambria Math" w:hAnsi="Cambria Math"/>
          </w:rPr>
          <m:t>X</m:t>
        </m:r>
      </m:oMath>
      <w:r>
        <w:rPr>
          <w:rFonts w:cs="Times"/>
        </w:rPr>
        <w:t xml:space="preserve"> takes into account the UE capability </w:t>
      </w:r>
      <w:r>
        <w:t>and implementation aspects of CSI-RS buffering and channel prediction.</w:t>
      </w:r>
    </w:p>
    <w:p w14:paraId="1FEE0D0A" w14:textId="4760E4E9" w:rsidR="00E71D0D" w:rsidRPr="00E71D0D" w:rsidRDefault="00E71D0D" w:rsidP="00E71D0D">
      <w:pPr>
        <w:rPr>
          <w:rFonts w:eastAsia="Times New Roman" w:cs="+mn-cs"/>
          <w:color w:val="000000"/>
          <w:kern w:val="24"/>
          <w:szCs w:val="22"/>
          <w:lang w:eastAsia="zh-CN"/>
        </w:rPr>
      </w:pPr>
      <w:r w:rsidRPr="00C076D7">
        <w:rPr>
          <w:rFonts w:eastAsia="Times New Roman" w:cs="+mn-cs"/>
          <w:b/>
          <w:bCs/>
          <w:i/>
          <w:iCs/>
          <w:color w:val="000000"/>
          <w:kern w:val="24"/>
          <w:szCs w:val="22"/>
          <w:lang w:eastAsia="zh-CN"/>
        </w:rPr>
        <w:t>Proposal</w:t>
      </w:r>
      <w:r>
        <w:rPr>
          <w:rFonts w:eastAsia="Times New Roman" w:cs="+mn-cs"/>
          <w:b/>
          <w:bCs/>
          <w:i/>
          <w:iCs/>
          <w:color w:val="000000"/>
          <w:kern w:val="24"/>
          <w:szCs w:val="22"/>
          <w:lang w:eastAsia="zh-CN"/>
        </w:rPr>
        <w:t xml:space="preserve"> 3</w:t>
      </w:r>
      <w:r>
        <w:rPr>
          <w:rFonts w:eastAsia="Times New Roman" w:cs="+mn-cs"/>
          <w:color w:val="000000"/>
          <w:kern w:val="24"/>
          <w:szCs w:val="22"/>
          <w:lang w:eastAsia="zh-CN"/>
        </w:rPr>
        <w:t xml:space="preserve">: When </w:t>
      </w:r>
      <m:oMath>
        <m:sSub>
          <m:sSubPr>
            <m:ctrlPr>
              <w:rPr>
                <w:rFonts w:ascii="Cambria Math" w:eastAsia="Times New Roman" w:hAnsi="Cambria Math" w:cs="+mn-cs"/>
                <w:i/>
                <w:color w:val="000000"/>
                <w:kern w:val="24"/>
                <w:szCs w:val="22"/>
                <w:lang w:eastAsia="zh-CN"/>
              </w:rPr>
            </m:ctrlPr>
          </m:sSubPr>
          <m:e>
            <m:r>
              <w:rPr>
                <w:rFonts w:ascii="Cambria Math" w:eastAsia="Times New Roman" w:hAnsi="Cambria Math" w:cs="+mn-cs"/>
                <w:color w:val="000000"/>
                <w:kern w:val="24"/>
                <w:szCs w:val="22"/>
                <w:lang w:eastAsia="zh-CN"/>
              </w:rPr>
              <m:t>K</m:t>
            </m:r>
          </m:e>
          <m:sub>
            <m:r>
              <w:rPr>
                <w:rFonts w:ascii="Cambria Math" w:eastAsia="Times New Roman" w:hAnsi="Cambria Math" w:cs="+mn-cs"/>
                <w:color w:val="000000"/>
                <w:kern w:val="24"/>
                <w:szCs w:val="22"/>
                <w:lang w:eastAsia="zh-CN"/>
              </w:rPr>
              <m:t>TRS</m:t>
            </m:r>
          </m:sub>
        </m:sSub>
        <m:r>
          <w:rPr>
            <w:rFonts w:ascii="Cambria Math" w:eastAsia="Times New Roman" w:hAnsi="Cambria Math" w:cs="+mn-cs"/>
            <w:color w:val="000000"/>
            <w:kern w:val="24"/>
            <w:szCs w:val="22"/>
            <w:lang w:eastAsia="zh-CN"/>
          </w:rPr>
          <m:t>&gt;1</m:t>
        </m:r>
      </m:oMath>
      <w:r>
        <w:rPr>
          <w:rFonts w:eastAsia="Times New Roman" w:cs="+mn-cs"/>
          <w:color w:val="000000"/>
          <w:kern w:val="24"/>
          <w:szCs w:val="22"/>
          <w:lang w:eastAsia="zh-CN"/>
        </w:rPr>
        <w:t xml:space="preserve"> TRS resources sets are configured for TDCP calculation, the UE can assume that t</w:t>
      </w:r>
      <w:r w:rsidRPr="00C83B73">
        <w:rPr>
          <w:rFonts w:eastAsia="Times New Roman" w:cs="+mn-cs"/>
          <w:color w:val="000000"/>
          <w:kern w:val="24"/>
          <w:szCs w:val="22"/>
          <w:lang w:eastAsia="zh-CN"/>
        </w:rPr>
        <w:t xml:space="preserve">he same </w:t>
      </w:r>
      <w:r>
        <w:rPr>
          <w:rStyle w:val="ui-provider"/>
          <w:i/>
          <w:iCs/>
        </w:rPr>
        <w:t>powerControlOffset</w:t>
      </w:r>
      <w:r>
        <w:rPr>
          <w:rStyle w:val="ui-provider"/>
        </w:rPr>
        <w:t xml:space="preserve"> and </w:t>
      </w:r>
      <w:r w:rsidRPr="00C83B73">
        <w:rPr>
          <w:rStyle w:val="ui-provider"/>
          <w:i/>
          <w:iCs/>
        </w:rPr>
        <w:t>powerControlOffsetSS</w:t>
      </w:r>
      <w:r w:rsidRPr="00C83B73">
        <w:rPr>
          <w:rFonts w:eastAsia="Times New Roman" w:cs="+mn-cs"/>
          <w:color w:val="000000"/>
          <w:kern w:val="24"/>
          <w:szCs w:val="22"/>
          <w:lang w:eastAsia="zh-CN"/>
        </w:rPr>
        <w:t xml:space="preserve"> </w:t>
      </w:r>
      <w:r>
        <w:rPr>
          <w:rFonts w:eastAsia="Times New Roman" w:cs="+mn-cs"/>
          <w:color w:val="000000"/>
          <w:kern w:val="24"/>
          <w:szCs w:val="22"/>
          <w:lang w:eastAsia="zh-CN"/>
        </w:rPr>
        <w:t>are</w:t>
      </w:r>
      <w:r w:rsidRPr="00C83B73">
        <w:rPr>
          <w:rFonts w:eastAsia="Times New Roman" w:cs="+mn-cs"/>
          <w:color w:val="000000"/>
          <w:kern w:val="24"/>
          <w:szCs w:val="22"/>
          <w:lang w:eastAsia="zh-CN"/>
        </w:rPr>
        <w:t xml:space="preserve"> used for all TRS resource sets which are used for TDCP calculation.</w:t>
      </w:r>
    </w:p>
    <w:p w14:paraId="72214DF8" w14:textId="77777777" w:rsidR="00E71D0D" w:rsidRDefault="00E71D0D" w:rsidP="00E71D0D">
      <w:pPr>
        <w:rPr>
          <w:lang w:val="en-GB"/>
        </w:rPr>
      </w:pPr>
      <w:r w:rsidRPr="00FF2D7F">
        <w:rPr>
          <w:b/>
          <w:bCs/>
          <w:i/>
          <w:iCs/>
          <w:lang w:val="en-GB"/>
        </w:rPr>
        <w:t>Proposal</w:t>
      </w:r>
      <w:r>
        <w:rPr>
          <w:b/>
          <w:bCs/>
          <w:i/>
          <w:iCs/>
          <w:lang w:val="en-GB"/>
        </w:rPr>
        <w:t xml:space="preserve"> 4</w:t>
      </w:r>
      <w:r>
        <w:rPr>
          <w:lang w:val="en-GB"/>
        </w:rPr>
        <w:t>: For TDCP amplitude quantization, down-select from the following alternatives:</w:t>
      </w:r>
    </w:p>
    <w:p w14:paraId="02B921CD" w14:textId="77777777" w:rsidR="00E71D0D" w:rsidRPr="00A1265A" w:rsidRDefault="00E71D0D" w:rsidP="00E71D0D">
      <w:pPr>
        <w:numPr>
          <w:ilvl w:val="0"/>
          <w:numId w:val="45"/>
        </w:numPr>
        <w:spacing w:after="0"/>
        <w:ind w:left="1267"/>
        <w:contextualSpacing/>
        <w:rPr>
          <w:rFonts w:eastAsia="Times New Roman"/>
          <w:szCs w:val="28"/>
          <w:lang w:eastAsia="zh-CN"/>
        </w:rPr>
      </w:pPr>
      <w:r w:rsidRPr="00A1265A">
        <w:rPr>
          <w:rFonts w:ascii="Times" w:eastAsia="Batang" w:hAnsi="Times" w:cs="Times"/>
          <w:color w:val="000000"/>
          <w:kern w:val="24"/>
          <w:szCs w:val="22"/>
          <w:lang w:val="en-GB" w:eastAsia="zh-CN"/>
        </w:rPr>
        <w:t>Alt1: N=2</w:t>
      </w:r>
      <w:r w:rsidRPr="00A1265A">
        <w:rPr>
          <w:rFonts w:ascii="Times" w:eastAsia="Batang" w:hAnsi="Times" w:cs="Times"/>
          <w:color w:val="000000"/>
          <w:kern w:val="24"/>
          <w:position w:val="6"/>
          <w:szCs w:val="22"/>
          <w:vertAlign w:val="superscript"/>
          <w:lang w:val="en-GB" w:eastAsia="zh-CN"/>
        </w:rPr>
        <w:t>Q</w:t>
      </w:r>
      <w:r w:rsidRPr="00A1265A">
        <w:rPr>
          <w:rFonts w:ascii="Times" w:eastAsia="Batang" w:hAnsi="Times" w:cs="Times"/>
          <w:color w:val="000000"/>
          <w:kern w:val="24"/>
          <w:szCs w:val="22"/>
          <w:lang w:val="en-GB" w:eastAsia="zh-CN"/>
        </w:rPr>
        <w:t xml:space="preserve">-1 where Q=5, s={¼, 1/3} </w:t>
      </w:r>
    </w:p>
    <w:p w14:paraId="1159A8A6" w14:textId="033DC942" w:rsidR="00E71D0D" w:rsidRPr="00E71D0D" w:rsidRDefault="00E71D0D" w:rsidP="00E71D0D">
      <w:pPr>
        <w:numPr>
          <w:ilvl w:val="0"/>
          <w:numId w:val="45"/>
        </w:numPr>
        <w:spacing w:after="0"/>
        <w:ind w:left="1267"/>
        <w:contextualSpacing/>
        <w:rPr>
          <w:rFonts w:eastAsia="Times New Roman"/>
          <w:szCs w:val="28"/>
          <w:lang w:eastAsia="zh-CN"/>
        </w:rPr>
      </w:pPr>
      <w:r w:rsidRPr="00A1265A">
        <w:rPr>
          <w:rFonts w:ascii="Times" w:eastAsia="Batang" w:hAnsi="Times" w:cs="Times"/>
          <w:color w:val="000000"/>
          <w:kern w:val="24"/>
          <w:szCs w:val="22"/>
          <w:lang w:val="en-GB" w:eastAsia="zh-CN"/>
        </w:rPr>
        <w:t>Alt3: N=2</w:t>
      </w:r>
      <w:r w:rsidRPr="00A1265A">
        <w:rPr>
          <w:rFonts w:ascii="Times" w:eastAsia="Batang" w:hAnsi="Times" w:cs="Times"/>
          <w:color w:val="000000"/>
          <w:kern w:val="24"/>
          <w:position w:val="6"/>
          <w:szCs w:val="22"/>
          <w:vertAlign w:val="superscript"/>
          <w:lang w:val="en-GB" w:eastAsia="zh-CN"/>
        </w:rPr>
        <w:t>Q</w:t>
      </w:r>
      <w:r w:rsidRPr="00A1265A">
        <w:rPr>
          <w:rFonts w:ascii="Times" w:eastAsia="Batang" w:hAnsi="Times" w:cs="Times"/>
          <w:color w:val="000000"/>
          <w:kern w:val="24"/>
          <w:szCs w:val="22"/>
          <w:lang w:val="en-GB" w:eastAsia="zh-CN"/>
        </w:rPr>
        <w:t xml:space="preserve"> where Q=4, s={½, 2/3, ¾} </w:t>
      </w:r>
    </w:p>
    <w:p w14:paraId="745E8E4A" w14:textId="77777777" w:rsidR="00E71D0D" w:rsidRPr="00E71D0D" w:rsidRDefault="00E71D0D" w:rsidP="00E71D0D">
      <w:pPr>
        <w:spacing w:after="0"/>
        <w:ind w:left="907"/>
        <w:contextualSpacing/>
        <w:rPr>
          <w:rFonts w:eastAsia="Times New Roman"/>
          <w:szCs w:val="28"/>
          <w:lang w:eastAsia="zh-CN"/>
        </w:rPr>
      </w:pPr>
    </w:p>
    <w:p w14:paraId="2896501C" w14:textId="77777777" w:rsidR="00E71D0D" w:rsidRDefault="00E71D0D" w:rsidP="00E71D0D">
      <w:r w:rsidRPr="00F80375">
        <w:rPr>
          <w:b/>
          <w:bCs/>
          <w:i/>
          <w:iCs/>
        </w:rPr>
        <w:t>Proposal</w:t>
      </w:r>
      <w:r>
        <w:rPr>
          <w:b/>
          <w:bCs/>
          <w:i/>
          <w:iCs/>
        </w:rPr>
        <w:t xml:space="preserve"> 5</w:t>
      </w:r>
      <w:r w:rsidRPr="00F80375">
        <w:rPr>
          <w:b/>
          <w:bCs/>
          <w:i/>
          <w:iCs/>
        </w:rPr>
        <w:t>:</w:t>
      </w:r>
      <w:r>
        <w:t xml:space="preserve"> For TDCP phase quantization, support the following:</w:t>
      </w:r>
    </w:p>
    <w:p w14:paraId="42280C04" w14:textId="77777777" w:rsidR="00E71D0D" w:rsidRPr="00E71D0D" w:rsidRDefault="00E71D0D" w:rsidP="004842AA">
      <w:pPr>
        <w:numPr>
          <w:ilvl w:val="0"/>
          <w:numId w:val="46"/>
        </w:numPr>
        <w:spacing w:after="0"/>
        <w:ind w:left="994"/>
        <w:contextualSpacing/>
        <w:rPr>
          <w:rFonts w:eastAsia="Times New Roman"/>
          <w:szCs w:val="28"/>
          <w:lang w:eastAsia="zh-CN"/>
        </w:rPr>
      </w:pPr>
      <w:r w:rsidRPr="00E71D0D">
        <w:rPr>
          <w:rFonts w:ascii="Times" w:eastAsia="Malgun Gothic" w:hAnsi="Times"/>
          <w:color w:val="000000"/>
          <w:kern w:val="24"/>
          <w:szCs w:val="22"/>
          <w:lang w:val="en-GB" w:eastAsia="zh-CN"/>
        </w:rPr>
        <w:t>Alt3. 4-bit (16-PSK) uniform quantization (full reuse of Rel-16 eType-II W2 phase quantization)</w:t>
      </w:r>
    </w:p>
    <w:p w14:paraId="1DAD6CB8" w14:textId="77777777" w:rsidR="00E71D0D" w:rsidRDefault="00E71D0D" w:rsidP="00E71D0D">
      <w:pPr>
        <w:spacing w:after="0"/>
        <w:contextualSpacing/>
        <w:rPr>
          <w:rFonts w:ascii="Times" w:eastAsia="Malgun Gothic" w:hAnsi="Times"/>
          <w:color w:val="000000"/>
          <w:kern w:val="24"/>
          <w:szCs w:val="22"/>
          <w:lang w:val="en-GB" w:eastAsia="zh-CN"/>
        </w:rPr>
      </w:pPr>
    </w:p>
    <w:p w14:paraId="1334F9C5" w14:textId="2725172A" w:rsidR="00E71D0D" w:rsidRDefault="00E71D0D" w:rsidP="00E71D0D">
      <w:pPr>
        <w:spacing w:after="0"/>
        <w:contextualSpacing/>
        <w:rPr>
          <w:rFonts w:ascii="Times" w:eastAsia="Malgun Gothic" w:hAnsi="Times" w:cs="Times"/>
          <w:color w:val="000000"/>
          <w:kern w:val="24"/>
          <w:sz w:val="21"/>
          <w:szCs w:val="21"/>
          <w:lang w:val="en-GB" w:eastAsia="zh-CN"/>
        </w:rPr>
      </w:pPr>
      <w:r w:rsidRPr="00E71D0D">
        <w:rPr>
          <w:rFonts w:eastAsia="Times New Roman"/>
          <w:b/>
          <w:bCs/>
          <w:i/>
          <w:iCs/>
          <w:szCs w:val="28"/>
          <w:lang w:eastAsia="zh-CN"/>
        </w:rPr>
        <w:t>Proposal 6</w:t>
      </w:r>
      <w:r w:rsidRPr="00E71D0D">
        <w:rPr>
          <w:rFonts w:eastAsia="Times New Roman"/>
          <w:szCs w:val="28"/>
          <w:lang w:eastAsia="zh-CN"/>
        </w:rPr>
        <w:t xml:space="preserve">: Do not support the working assumption regarding </w:t>
      </w:r>
      <w:r w:rsidRPr="00E71D0D">
        <w:rPr>
          <w:rFonts w:ascii="Times" w:eastAsia="Malgun Gothic" w:hAnsi="Times" w:cs="Times"/>
          <w:color w:val="000000"/>
          <w:kern w:val="24"/>
          <w:sz w:val="21"/>
          <w:szCs w:val="21"/>
          <w:lang w:val="en-GB" w:eastAsia="zh-CN"/>
        </w:rPr>
        <w:t>D (delay) values of 6 slots, 10 slots.</w:t>
      </w:r>
    </w:p>
    <w:p w14:paraId="54F67455" w14:textId="77777777" w:rsidR="00E71D0D" w:rsidRPr="00E71D0D" w:rsidRDefault="00E71D0D" w:rsidP="00E71D0D">
      <w:pPr>
        <w:spacing w:after="0"/>
        <w:contextualSpacing/>
        <w:rPr>
          <w:rFonts w:eastAsia="Times New Roman"/>
          <w:szCs w:val="28"/>
          <w:lang w:eastAsia="zh-CN"/>
        </w:rPr>
      </w:pPr>
    </w:p>
    <w:p w14:paraId="3ADBF1B1" w14:textId="0DD9C510" w:rsidR="00E71D0D" w:rsidRDefault="00E71D0D" w:rsidP="00E71D0D">
      <w:pPr>
        <w:spacing w:after="0"/>
        <w:contextualSpacing/>
        <w:rPr>
          <w:rFonts w:eastAsia="Times New Roman"/>
          <w:szCs w:val="28"/>
          <w:lang w:eastAsia="zh-CN"/>
        </w:rPr>
      </w:pPr>
      <w:r w:rsidRPr="00E71D0D">
        <w:rPr>
          <w:rFonts w:eastAsia="Times New Roman"/>
          <w:b/>
          <w:bCs/>
          <w:i/>
          <w:iCs/>
          <w:szCs w:val="28"/>
          <w:lang w:eastAsia="zh-CN"/>
        </w:rPr>
        <w:lastRenderedPageBreak/>
        <w:t>Proposal 7</w:t>
      </w:r>
      <w:r w:rsidRPr="00E71D0D">
        <w:rPr>
          <w:rFonts w:eastAsia="Times New Roman"/>
          <w:szCs w:val="28"/>
          <w:lang w:eastAsia="zh-CN"/>
        </w:rPr>
        <w:t xml:space="preserve">: Support </w:t>
      </w:r>
      <m:oMath>
        <m:sSub>
          <m:sSubPr>
            <m:ctrlPr>
              <w:rPr>
                <w:rFonts w:ascii="Cambria Math" w:eastAsia="Times New Roman" w:hAnsi="Cambria Math"/>
                <w:i/>
                <w:szCs w:val="28"/>
                <w:lang w:eastAsia="zh-CN"/>
              </w:rPr>
            </m:ctrlPr>
          </m:sSubPr>
          <m:e>
            <m:r>
              <w:rPr>
                <w:rFonts w:ascii="Cambria Math" w:eastAsia="Times New Roman" w:hAnsi="Cambria Math"/>
                <w:szCs w:val="28"/>
                <w:lang w:eastAsia="zh-CN"/>
              </w:rPr>
              <m:t>D</m:t>
            </m:r>
          </m:e>
          <m:sub>
            <m:r>
              <w:rPr>
                <w:rFonts w:ascii="Cambria Math" w:eastAsia="Times New Roman" w:hAnsi="Cambria Math"/>
                <w:szCs w:val="28"/>
                <w:lang w:eastAsia="zh-CN"/>
              </w:rPr>
              <m:t>basic</m:t>
            </m:r>
          </m:sub>
        </m:sSub>
        <m:r>
          <w:rPr>
            <w:rFonts w:ascii="Cambria Math" w:eastAsia="Times New Roman" w:hAnsi="Cambria Math"/>
            <w:szCs w:val="28"/>
            <w:lang w:eastAsia="zh-CN"/>
          </w:rPr>
          <m:t>&lt;28</m:t>
        </m:r>
      </m:oMath>
      <w:r w:rsidRPr="00E71D0D">
        <w:rPr>
          <w:rFonts w:eastAsia="Times New Roman"/>
          <w:szCs w:val="28"/>
          <w:lang w:eastAsia="zh-CN"/>
        </w:rPr>
        <w:t xml:space="preserve"> OFDM symbols.</w:t>
      </w:r>
    </w:p>
    <w:p w14:paraId="7669A4AA" w14:textId="77777777" w:rsidR="00E71D0D" w:rsidRPr="00E71D0D" w:rsidRDefault="00E71D0D" w:rsidP="00E71D0D">
      <w:pPr>
        <w:spacing w:after="0"/>
        <w:contextualSpacing/>
        <w:rPr>
          <w:rFonts w:eastAsia="Times New Roman"/>
          <w:szCs w:val="28"/>
          <w:lang w:eastAsia="zh-CN"/>
        </w:rPr>
      </w:pPr>
    </w:p>
    <w:p w14:paraId="0B9BC298" w14:textId="4DDF1441" w:rsidR="00E71D0D" w:rsidRDefault="00E71D0D" w:rsidP="00E71D0D">
      <w:pPr>
        <w:spacing w:after="0"/>
        <w:contextualSpacing/>
        <w:rPr>
          <w:rFonts w:eastAsia="Times New Roman"/>
          <w:szCs w:val="28"/>
          <w:lang w:eastAsia="zh-CN"/>
        </w:rPr>
      </w:pPr>
      <w:r w:rsidRPr="00917D0B">
        <w:rPr>
          <w:rFonts w:eastAsia="Times New Roman"/>
          <w:b/>
          <w:bCs/>
          <w:i/>
          <w:iCs/>
          <w:szCs w:val="28"/>
          <w:lang w:eastAsia="zh-CN"/>
        </w:rPr>
        <w:t>Proposa</w:t>
      </w:r>
      <w:r>
        <w:rPr>
          <w:rFonts w:eastAsia="Times New Roman"/>
          <w:b/>
          <w:bCs/>
          <w:i/>
          <w:iCs/>
          <w:szCs w:val="28"/>
          <w:lang w:eastAsia="zh-CN"/>
        </w:rPr>
        <w:t>l 8</w:t>
      </w:r>
      <w:r>
        <w:rPr>
          <w:rFonts w:eastAsia="Times New Roman"/>
          <w:szCs w:val="28"/>
          <w:lang w:eastAsia="zh-CN"/>
        </w:rPr>
        <w:t>: For R18 TDCP feature do not support Y=7.</w:t>
      </w:r>
    </w:p>
    <w:p w14:paraId="0218DD41" w14:textId="77777777" w:rsidR="00E71D0D" w:rsidRPr="00E71D0D" w:rsidRDefault="00E71D0D" w:rsidP="00E71D0D">
      <w:pPr>
        <w:spacing w:after="0"/>
        <w:contextualSpacing/>
        <w:rPr>
          <w:rFonts w:eastAsia="Times New Roman"/>
          <w:szCs w:val="28"/>
          <w:lang w:eastAsia="zh-CN"/>
        </w:rPr>
      </w:pPr>
    </w:p>
    <w:p w14:paraId="6DAE0FD5" w14:textId="0EECBFB6" w:rsidR="005A4BB8" w:rsidRDefault="00E71D0D" w:rsidP="00E71D0D">
      <w:pPr>
        <w:spacing w:after="0"/>
        <w:contextualSpacing/>
        <w:rPr>
          <w:rFonts w:eastAsia="Times New Roman"/>
          <w:szCs w:val="28"/>
          <w:lang w:eastAsia="zh-CN"/>
        </w:rPr>
      </w:pPr>
      <w:r w:rsidRPr="002D2605">
        <w:rPr>
          <w:rFonts w:eastAsia="Times New Roman"/>
          <w:b/>
          <w:bCs/>
          <w:i/>
          <w:iCs/>
          <w:szCs w:val="28"/>
          <w:lang w:eastAsia="zh-CN"/>
        </w:rPr>
        <w:t>Proposal</w:t>
      </w:r>
      <w:r>
        <w:rPr>
          <w:rFonts w:eastAsia="Times New Roman"/>
          <w:b/>
          <w:bCs/>
          <w:i/>
          <w:iCs/>
          <w:szCs w:val="28"/>
          <w:lang w:eastAsia="zh-CN"/>
        </w:rPr>
        <w:t xml:space="preserve"> 9</w:t>
      </w:r>
      <w:r>
        <w:rPr>
          <w:rFonts w:eastAsia="Times New Roman"/>
          <w:szCs w:val="28"/>
          <w:lang w:eastAsia="zh-CN"/>
        </w:rPr>
        <w:t xml:space="preserve">: For TDCP, the number of CPU units allocated to TDCP reporting is given by: </w:t>
      </w:r>
      <m:oMath>
        <m:sSub>
          <m:sSubPr>
            <m:ctrlPr>
              <w:rPr>
                <w:rFonts w:ascii="Cambria Math" w:eastAsia="Times New Roman" w:hAnsi="Cambria Math"/>
                <w:i/>
                <w:szCs w:val="28"/>
                <w:lang w:eastAsia="zh-CN"/>
              </w:rPr>
            </m:ctrlPr>
          </m:sSubPr>
          <m:e>
            <m:r>
              <w:rPr>
                <w:rFonts w:ascii="Cambria Math" w:eastAsia="Times New Roman" w:hAnsi="Cambria Math"/>
                <w:szCs w:val="28"/>
                <w:lang w:eastAsia="zh-CN"/>
              </w:rPr>
              <m:t>N</m:t>
            </m:r>
          </m:e>
          <m:sub>
            <m:r>
              <w:rPr>
                <w:rFonts w:ascii="Cambria Math" w:eastAsia="Times New Roman" w:hAnsi="Cambria Math"/>
                <w:szCs w:val="28"/>
                <w:lang w:eastAsia="zh-CN"/>
              </w:rPr>
              <m:t>CPU</m:t>
            </m:r>
          </m:sub>
        </m:sSub>
        <m:r>
          <w:rPr>
            <w:rFonts w:ascii="Cambria Math" w:eastAsia="Times New Roman" w:hAnsi="Cambria Math"/>
            <w:szCs w:val="28"/>
            <w:lang w:eastAsia="zh-CN"/>
          </w:rPr>
          <m:t xml:space="preserve">= </m:t>
        </m:r>
      </m:oMath>
      <w:r>
        <w:rPr>
          <w:rFonts w:eastAsia="Times New Roman"/>
          <w:szCs w:val="28"/>
          <w:lang w:eastAsia="zh-CN"/>
        </w:rPr>
        <w:t xml:space="preserve"> #TRS bursts = (</w:t>
      </w:r>
      <m:oMath>
        <m:r>
          <w:rPr>
            <w:rFonts w:ascii="Cambria Math" w:eastAsia="Times New Roman" w:hAnsi="Cambria Math"/>
            <w:szCs w:val="28"/>
            <w:lang w:eastAsia="zh-CN"/>
          </w:rPr>
          <m:t xml:space="preserve"> Y+1)×X</m:t>
        </m:r>
      </m:oMath>
      <w:r>
        <w:rPr>
          <w:rFonts w:eastAsia="Times New Roman"/>
          <w:szCs w:val="28"/>
          <w:lang w:eastAsia="zh-CN"/>
        </w:rPr>
        <w:t xml:space="preserve">, where </w:t>
      </w:r>
      <m:oMath>
        <m:r>
          <w:rPr>
            <w:rFonts w:ascii="Cambria Math" w:eastAsia="Times New Roman" w:hAnsi="Cambria Math"/>
            <w:szCs w:val="28"/>
            <w:lang w:eastAsia="zh-CN"/>
          </w:rPr>
          <m:t>X</m:t>
        </m:r>
      </m:oMath>
      <w:r>
        <w:rPr>
          <w:rFonts w:eastAsia="Times New Roman"/>
          <w:szCs w:val="28"/>
          <w:lang w:eastAsia="zh-CN"/>
        </w:rPr>
        <w:t xml:space="preserve"> is a UE capability.</w:t>
      </w:r>
    </w:p>
    <w:p w14:paraId="2B836C55" w14:textId="77777777" w:rsidR="00E71D0D" w:rsidRPr="00E71D0D" w:rsidRDefault="00E71D0D" w:rsidP="00E71D0D">
      <w:pPr>
        <w:spacing w:after="0"/>
        <w:contextualSpacing/>
        <w:rPr>
          <w:rFonts w:eastAsia="Times New Roman"/>
          <w:szCs w:val="28"/>
          <w:lang w:eastAsia="zh-CN"/>
        </w:rPr>
      </w:pPr>
    </w:p>
    <w:p w14:paraId="0C15B69C" w14:textId="77777777" w:rsidR="00E71D0D" w:rsidRDefault="00E71D0D" w:rsidP="00E71D0D">
      <w:pPr>
        <w:rPr>
          <w:rFonts w:cs="Times"/>
        </w:rPr>
      </w:pPr>
      <w:r w:rsidRPr="00E71D0D">
        <w:rPr>
          <w:b/>
          <w:bCs/>
          <w:i/>
          <w:iCs/>
        </w:rPr>
        <w:t>Proposal 10:</w:t>
      </w:r>
      <w:r>
        <w:t xml:space="preserve"> </w:t>
      </w:r>
      <w:r>
        <w:rPr>
          <w:rFonts w:cs="Times"/>
        </w:rPr>
        <w:t xml:space="preserve">For the Rel-18 Type-II codebook refinement for CJT mTRP, support a single (common) powerControlOffset across all </w:t>
      </w:r>
      <m:oMath>
        <m:sSub>
          <m:sSubPr>
            <m:ctrlPr>
              <w:rPr>
                <w:rFonts w:ascii="Cambria Math" w:hAnsi="Cambria Math" w:cs="Times"/>
                <w:i/>
              </w:rPr>
            </m:ctrlPr>
          </m:sSubPr>
          <m:e>
            <m:r>
              <w:rPr>
                <w:rFonts w:ascii="Cambria Math" w:hAnsi="Cambria Math" w:cs="Times"/>
              </w:rPr>
              <m:t>N</m:t>
            </m:r>
          </m:e>
          <m:sub>
            <m:r>
              <w:rPr>
                <w:rFonts w:ascii="Cambria Math" w:hAnsi="Cambria Math" w:cs="Times"/>
              </w:rPr>
              <m:t>TRP</m:t>
            </m:r>
          </m:sub>
        </m:sSub>
      </m:oMath>
      <w:r>
        <w:rPr>
          <w:rFonts w:cs="Times"/>
        </w:rPr>
        <w:t xml:space="preserve"> CSI-RS resources.</w:t>
      </w:r>
    </w:p>
    <w:p w14:paraId="380B354C" w14:textId="77777777" w:rsidR="00E71D0D" w:rsidRPr="0061014A" w:rsidRDefault="00E71D0D" w:rsidP="00E71D0D">
      <w:r w:rsidRPr="00E71D0D">
        <w:rPr>
          <w:rFonts w:cs="Times"/>
          <w:b/>
          <w:bCs/>
          <w:i/>
          <w:iCs/>
        </w:rPr>
        <w:t>Proposal 11:</w:t>
      </w:r>
      <w:r>
        <w:rPr>
          <w:rFonts w:cs="Times"/>
        </w:rPr>
        <w:t xml:space="preserve"> For Rel-18 Type-II codebook refinement for CJT mTRP, PDSCH power should be defined as the sum power of (coherently) precoded signals from all TRPs for PDSCH EPRE.</w:t>
      </w:r>
    </w:p>
    <w:p w14:paraId="5BFF425A" w14:textId="77777777" w:rsidR="00E71D0D" w:rsidRDefault="00E71D0D" w:rsidP="00E71D0D">
      <w:r w:rsidRPr="00E71D0D">
        <w:rPr>
          <w:b/>
          <w:bCs/>
          <w:i/>
          <w:iCs/>
        </w:rPr>
        <w:t>Proposal 12:</w:t>
      </w:r>
      <w:r>
        <w:t xml:space="preserve"> </w:t>
      </w:r>
      <w:r>
        <w:rPr>
          <w:rFonts w:cs="Times"/>
        </w:rPr>
        <w:t xml:space="preserve">For Rel-18 Type-II codebook refinement for CJT mTRP, define the CPU occupation rule as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=X⋅</m:t>
        </m:r>
        <m:sSub>
          <m:sSubPr>
            <m:ctrlPr>
              <w:rPr>
                <w:rFonts w:ascii="Cambria Math" w:hAnsi="Cambria Math"/>
                <w:i/>
              </w:rPr>
            </m:ctrlPr>
          </m:sSubPr>
          <m:e>
            <m:r>
              <w:rPr>
                <w:rFonts w:ascii="Cambria Math" w:hAnsi="Cambria Math"/>
              </w:rPr>
              <m:t>N</m:t>
            </m:r>
          </m:e>
          <m:sub>
            <m:r>
              <w:rPr>
                <w:rFonts w:ascii="Cambria Math" w:hAnsi="Cambria Math"/>
              </w:rPr>
              <m:t>TRP</m:t>
            </m:r>
          </m:sub>
        </m:sSub>
      </m:oMath>
      <w:r>
        <w:rPr>
          <w:rFonts w:cs="Times"/>
        </w:rPr>
        <w:t xml:space="preserve">, where </w:t>
      </w:r>
      <m:oMath>
        <m:r>
          <w:rPr>
            <w:rFonts w:ascii="Cambria Math" w:hAnsi="Cambria Math"/>
          </w:rPr>
          <m:t xml:space="preserve">X </m:t>
        </m:r>
      </m:oMath>
      <w:r>
        <w:t xml:space="preserve">takes into account the UE capability and implementation aspects of TRP selection, selection of one out of </w:t>
      </w:r>
      <m:oMath>
        <m:sSub>
          <m:sSubPr>
            <m:ctrlPr>
              <w:rPr>
                <w:rFonts w:ascii="Cambria Math" w:hAnsi="Cambria Math"/>
                <w:i/>
              </w:rPr>
            </m:ctrlPr>
          </m:sSubPr>
          <m:e>
            <m:r>
              <w:rPr>
                <w:rFonts w:ascii="Cambria Math" w:hAnsi="Cambria Math"/>
              </w:rPr>
              <m:t>N</m:t>
            </m:r>
          </m:e>
          <m:sub>
            <m:r>
              <w:rPr>
                <w:rFonts w:ascii="Cambria Math" w:hAnsi="Cambria Math"/>
              </w:rPr>
              <m:t>L</m:t>
            </m:r>
          </m:sub>
        </m:sSub>
      </m:oMath>
      <w:r>
        <w:t xml:space="preserve"> SD bases combination, and additional computation (compared to NCJT) required for joint SVD.</w:t>
      </w:r>
    </w:p>
    <w:p w14:paraId="4DB31D75" w14:textId="77777777" w:rsidR="00E71D0D" w:rsidRDefault="00E71D0D" w:rsidP="00E71D0D">
      <w:pPr>
        <w:jc w:val="both"/>
        <w:rPr>
          <w:lang w:val="en-GB"/>
        </w:rPr>
      </w:pPr>
      <w:r w:rsidRPr="00E71D0D">
        <w:rPr>
          <w:b/>
          <w:bCs/>
          <w:i/>
          <w:iCs/>
        </w:rPr>
        <w:t>Proposal 13</w:t>
      </w:r>
      <w:r w:rsidRPr="00E71D0D">
        <w:rPr>
          <w:i/>
          <w:iCs/>
          <w:lang w:val="en-GB"/>
        </w:rPr>
        <w:t>:</w:t>
      </w:r>
      <w:r>
        <w:rPr>
          <w:lang w:val="en-GB"/>
        </w:rPr>
        <w:t xml:space="preserve"> For Rel-18 Type II codebook for CJT, revert the working assumption on quantization Alt 3.</w:t>
      </w:r>
    </w:p>
    <w:p w14:paraId="6489CF34" w14:textId="77777777" w:rsidR="00E71D0D" w:rsidRPr="00687E2A" w:rsidRDefault="00E71D0D" w:rsidP="005A4BB8">
      <w:pPr>
        <w:spacing w:before="100" w:beforeAutospacing="1" w:after="100" w:afterAutospacing="1"/>
        <w:jc w:val="both"/>
      </w:pPr>
    </w:p>
    <w:p w14:paraId="3FBE0CA6" w14:textId="77777777" w:rsidR="00EA11D1" w:rsidRDefault="00EA11D1" w:rsidP="00EA11D1">
      <w:pPr>
        <w:pStyle w:val="Heading1"/>
        <w:numPr>
          <w:ilvl w:val="0"/>
          <w:numId w:val="1"/>
        </w:numPr>
        <w:jc w:val="both"/>
      </w:pPr>
      <w:r w:rsidRPr="00B35290">
        <w:rPr>
          <w:rFonts w:eastAsia="MS Mincho" w:cs="Arial"/>
          <w:b/>
          <w:sz w:val="32"/>
          <w:szCs w:val="32"/>
          <w:lang w:val="en-US"/>
        </w:rPr>
        <w:t>References</w:t>
      </w:r>
    </w:p>
    <w:p w14:paraId="1C893D06" w14:textId="0889E34F" w:rsidR="00DA2C67" w:rsidRDefault="00695F42" w:rsidP="00447B7C">
      <w:pPr>
        <w:numPr>
          <w:ilvl w:val="0"/>
          <w:numId w:val="2"/>
        </w:numPr>
        <w:jc w:val="both"/>
        <w:rPr>
          <w:rFonts w:eastAsia="MS Mincho" w:cs="Arial"/>
          <w:bCs/>
          <w:szCs w:val="24"/>
        </w:rPr>
      </w:pPr>
      <w:bookmarkStart w:id="4" w:name="_Ref112936975"/>
      <w:r w:rsidRPr="00695F42">
        <w:rPr>
          <w:rFonts w:eastAsia="MS Mincho" w:cs="Arial"/>
          <w:bCs/>
          <w:szCs w:val="24"/>
        </w:rPr>
        <w:t>RP-</w:t>
      </w:r>
      <w:r w:rsidRPr="00695F42">
        <w:rPr>
          <w:rFonts w:eastAsia="MS Mincho" w:cs="Arial" w:hint="eastAsia"/>
          <w:bCs/>
          <w:szCs w:val="24"/>
        </w:rPr>
        <w:t>213598</w:t>
      </w:r>
      <w:r w:rsidRPr="00695F42">
        <w:rPr>
          <w:rFonts w:eastAsia="MS Mincho" w:cs="Arial"/>
          <w:bCs/>
          <w:szCs w:val="24"/>
        </w:rPr>
        <w:t xml:space="preserve">, “MIMO evolution for </w:t>
      </w:r>
      <w:r>
        <w:rPr>
          <w:rFonts w:eastAsia="MS Mincho" w:cs="Arial"/>
          <w:bCs/>
          <w:szCs w:val="24"/>
        </w:rPr>
        <w:t>d</w:t>
      </w:r>
      <w:r w:rsidRPr="00695F42">
        <w:rPr>
          <w:rFonts w:eastAsia="MS Mincho" w:cs="Arial"/>
          <w:bCs/>
          <w:szCs w:val="24"/>
        </w:rPr>
        <w:t xml:space="preserve">ownlink and </w:t>
      </w:r>
      <w:r>
        <w:rPr>
          <w:rFonts w:eastAsia="MS Mincho" w:cs="Arial"/>
          <w:bCs/>
          <w:szCs w:val="24"/>
        </w:rPr>
        <w:t>u</w:t>
      </w:r>
      <w:r w:rsidRPr="00695F42">
        <w:rPr>
          <w:rFonts w:eastAsia="MS Mincho" w:cs="Arial"/>
          <w:bCs/>
          <w:szCs w:val="24"/>
        </w:rPr>
        <w:t>plink,” Samsung.</w:t>
      </w:r>
      <w:bookmarkStart w:id="5" w:name="_Ref110892597"/>
      <w:bookmarkEnd w:id="4"/>
    </w:p>
    <w:p w14:paraId="59C9FEC1" w14:textId="691DD274" w:rsidR="0079768C" w:rsidRDefault="0079768C" w:rsidP="00C31A6F">
      <w:pPr>
        <w:pStyle w:val="ListParagraph"/>
        <w:numPr>
          <w:ilvl w:val="0"/>
          <w:numId w:val="2"/>
        </w:numPr>
        <w:rPr>
          <w:rFonts w:eastAsia="MS Mincho" w:cs="Arial"/>
          <w:bCs/>
          <w:szCs w:val="24"/>
        </w:rPr>
      </w:pPr>
      <w:bookmarkStart w:id="6" w:name="_Ref112936990"/>
      <w:bookmarkStart w:id="7" w:name="_Ref112937000"/>
      <w:r w:rsidRPr="00DA2C67">
        <w:rPr>
          <w:rFonts w:eastAsia="MS Mincho" w:cs="Arial"/>
          <w:bCs/>
          <w:szCs w:val="24"/>
        </w:rPr>
        <w:t>Chai</w:t>
      </w:r>
      <w:r>
        <w:rPr>
          <w:rFonts w:eastAsia="MS Mincho" w:cs="Arial"/>
          <w:bCs/>
          <w:szCs w:val="24"/>
        </w:rPr>
        <w:t>r’s</w:t>
      </w:r>
      <w:r w:rsidRPr="00DA2C67">
        <w:rPr>
          <w:rFonts w:eastAsia="MS Mincho" w:cs="Arial"/>
          <w:bCs/>
          <w:szCs w:val="24"/>
        </w:rPr>
        <w:t xml:space="preserve"> notes, RAN1#1</w:t>
      </w:r>
      <w:r>
        <w:rPr>
          <w:rFonts w:eastAsia="MS Mincho" w:cs="Arial"/>
          <w:bCs/>
          <w:szCs w:val="24"/>
        </w:rPr>
        <w:t>1</w:t>
      </w:r>
      <w:r w:rsidR="00EF5853">
        <w:rPr>
          <w:rFonts w:eastAsia="MS Mincho" w:cs="Arial"/>
          <w:bCs/>
          <w:szCs w:val="24"/>
        </w:rPr>
        <w:t>2</w:t>
      </w:r>
      <w:r w:rsidR="00545439">
        <w:rPr>
          <w:rFonts w:eastAsia="MS Mincho" w:cs="Arial"/>
          <w:bCs/>
          <w:szCs w:val="24"/>
        </w:rPr>
        <w:t>-bis-e</w:t>
      </w:r>
      <w:r w:rsidRPr="00DA2C67">
        <w:rPr>
          <w:rFonts w:eastAsia="MS Mincho" w:cs="Arial"/>
          <w:bCs/>
          <w:szCs w:val="24"/>
        </w:rPr>
        <w:t xml:space="preserve">, </w:t>
      </w:r>
      <w:r w:rsidR="00545439">
        <w:rPr>
          <w:rFonts w:eastAsia="MS Mincho" w:cs="Arial"/>
          <w:bCs/>
          <w:szCs w:val="24"/>
        </w:rPr>
        <w:t>Online</w:t>
      </w:r>
      <w:r>
        <w:rPr>
          <w:rFonts w:eastAsia="MS Mincho" w:cs="Arial"/>
          <w:bCs/>
          <w:szCs w:val="24"/>
        </w:rPr>
        <w:t xml:space="preserve">, </w:t>
      </w:r>
      <w:r w:rsidR="00545439">
        <w:t>April</w:t>
      </w:r>
      <w:r w:rsidRPr="003B39D3">
        <w:t xml:space="preserve"> </w:t>
      </w:r>
      <w:r w:rsidR="00545439">
        <w:t>1</w:t>
      </w:r>
      <w:r w:rsidR="00EF5853">
        <w:t>7th</w:t>
      </w:r>
      <w:r w:rsidRPr="003B39D3">
        <w:t xml:space="preserve"> –</w:t>
      </w:r>
      <w:r w:rsidR="00EF5853">
        <w:t xml:space="preserve"> </w:t>
      </w:r>
      <w:r w:rsidR="00545439">
        <w:t>26th</w:t>
      </w:r>
      <w:r w:rsidRPr="003B39D3">
        <w:t>,</w:t>
      </w:r>
      <w:r>
        <w:t xml:space="preserve"> </w:t>
      </w:r>
      <w:r w:rsidRPr="003B39D3">
        <w:t>202</w:t>
      </w:r>
      <w:r w:rsidR="00EF5853">
        <w:t>3</w:t>
      </w:r>
      <w:r>
        <w:t>.</w:t>
      </w:r>
      <w:bookmarkEnd w:id="6"/>
    </w:p>
    <w:p w14:paraId="1887EDAE" w14:textId="59EEED66" w:rsidR="00160FEC" w:rsidRPr="00160FEC" w:rsidRDefault="4A115CB9" w:rsidP="00160FEC">
      <w:pPr>
        <w:pStyle w:val="ListParagraph"/>
        <w:numPr>
          <w:ilvl w:val="0"/>
          <w:numId w:val="2"/>
        </w:numPr>
        <w:rPr>
          <w:rFonts w:eastAsia="MS Mincho" w:cs="Arial"/>
        </w:rPr>
      </w:pPr>
      <w:bookmarkStart w:id="8" w:name="_Ref117254941"/>
      <w:bookmarkEnd w:id="5"/>
      <w:bookmarkEnd w:id="7"/>
      <w:r w:rsidRPr="4A115CB9">
        <w:rPr>
          <w:rFonts w:eastAsia="MS Mincho" w:cs="Arial"/>
        </w:rPr>
        <w:t>Chair’s notes, RAN1#110bis-e, e-Meeting, October 10th – 19th, 2</w:t>
      </w:r>
      <w:r>
        <w:t>022.</w:t>
      </w:r>
      <w:bookmarkEnd w:id="8"/>
    </w:p>
    <w:p w14:paraId="3E164DCD" w14:textId="0BDD84B1" w:rsidR="004027F9" w:rsidRDefault="004027F9" w:rsidP="004027F9">
      <w:pPr>
        <w:rPr>
          <w:rFonts w:eastAsia="MS Mincho" w:cs="Arial"/>
        </w:rPr>
      </w:pPr>
    </w:p>
    <w:p w14:paraId="4C3825D5" w14:textId="77777777" w:rsidR="004027F9" w:rsidRPr="004027F9" w:rsidRDefault="004027F9" w:rsidP="004027F9">
      <w:pPr>
        <w:rPr>
          <w:rFonts w:eastAsia="MS Mincho" w:cs="Arial"/>
        </w:rPr>
      </w:pPr>
    </w:p>
    <w:p w14:paraId="540A90A2" w14:textId="77777777" w:rsidR="00F00500" w:rsidRDefault="00F00500" w:rsidP="00F00500">
      <w:pPr>
        <w:pStyle w:val="Heading1"/>
        <w:spacing w:after="0"/>
        <w:ind w:left="431" w:hanging="431"/>
        <w:jc w:val="both"/>
      </w:pPr>
      <w:bookmarkStart w:id="9" w:name="_Ref118448372"/>
      <w:r>
        <w:rPr>
          <w:rFonts w:eastAsia="MS Mincho" w:cs="Arial"/>
          <w:b/>
          <w:sz w:val="32"/>
          <w:szCs w:val="32"/>
          <w:lang w:val="en-US"/>
        </w:rPr>
        <w:t>Appendix</w:t>
      </w:r>
      <w:r>
        <w:rPr>
          <w:rFonts w:asciiTheme="minorEastAsia" w:eastAsiaTheme="minorEastAsia" w:hAnsiTheme="minorEastAsia" w:cs="Arial" w:hint="eastAsia"/>
          <w:b/>
          <w:sz w:val="32"/>
          <w:szCs w:val="32"/>
          <w:lang w:val="en-US" w:eastAsia="zh-TW"/>
        </w:rPr>
        <w:t xml:space="preserve"> </w:t>
      </w:r>
      <w:r>
        <w:rPr>
          <w:rFonts w:eastAsia="MS Mincho" w:cs="Arial"/>
          <w:b/>
          <w:sz w:val="32"/>
          <w:szCs w:val="32"/>
          <w:lang w:val="en-US"/>
        </w:rPr>
        <w:t>II</w:t>
      </w:r>
      <w:bookmarkEnd w:id="9"/>
    </w:p>
    <w:p w14:paraId="345B7EA1" w14:textId="77777777" w:rsidR="00F00500" w:rsidRPr="00917609" w:rsidRDefault="00F00500" w:rsidP="00F00500">
      <w:pPr>
        <w:spacing w:after="60"/>
        <w:jc w:val="center"/>
      </w:pPr>
      <w:r>
        <w:t>SLS</w:t>
      </w:r>
      <w:r w:rsidRPr="00917609">
        <w:t xml:space="preserve"> assumptions</w:t>
      </w:r>
      <w:r>
        <w:t xml:space="preserve"> for CSI enhancement of coherent JT</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75"/>
        <w:gridCol w:w="2778"/>
        <w:gridCol w:w="5377"/>
      </w:tblGrid>
      <w:tr w:rsidR="00F00500" w:rsidRPr="000A5B6A" w14:paraId="5F55FCC5" w14:textId="77777777" w:rsidTr="00C45162">
        <w:trPr>
          <w:trHeight w:val="104"/>
        </w:trPr>
        <w:tc>
          <w:tcPr>
            <w:tcW w:w="4253" w:type="dxa"/>
            <w:gridSpan w:val="2"/>
            <w:shd w:val="clear" w:color="auto" w:fill="D9D9D9" w:themeFill="background1" w:themeFillShade="D9"/>
            <w:tcMar>
              <w:top w:w="72" w:type="dxa"/>
              <w:left w:w="144" w:type="dxa"/>
              <w:bottom w:w="72" w:type="dxa"/>
              <w:right w:w="144" w:type="dxa"/>
            </w:tcMar>
            <w:hideMark/>
          </w:tcPr>
          <w:p w14:paraId="3515AFEB" w14:textId="77777777" w:rsidR="00F00500" w:rsidRPr="00917609" w:rsidRDefault="00F00500" w:rsidP="00C45162">
            <w:pPr>
              <w:spacing w:after="0"/>
              <w:contextualSpacing/>
              <w:rPr>
                <w:color w:val="000000" w:themeColor="text1"/>
                <w:szCs w:val="22"/>
                <w:lang w:val="en-GB" w:eastAsia="ja-JP"/>
              </w:rPr>
            </w:pPr>
            <w:r w:rsidRPr="00917609">
              <w:rPr>
                <w:color w:val="000000" w:themeColor="text1"/>
                <w:szCs w:val="22"/>
                <w:lang w:val="en-GB" w:eastAsia="ja-JP"/>
              </w:rPr>
              <w:t>Parameter</w:t>
            </w:r>
          </w:p>
        </w:tc>
        <w:tc>
          <w:tcPr>
            <w:tcW w:w="5377" w:type="dxa"/>
            <w:shd w:val="clear" w:color="auto" w:fill="D9D9D9" w:themeFill="background1" w:themeFillShade="D9"/>
            <w:tcMar>
              <w:top w:w="72" w:type="dxa"/>
              <w:left w:w="144" w:type="dxa"/>
              <w:bottom w:w="72" w:type="dxa"/>
              <w:right w:w="144" w:type="dxa"/>
            </w:tcMar>
            <w:hideMark/>
          </w:tcPr>
          <w:p w14:paraId="1C0AA483" w14:textId="77777777" w:rsidR="00F00500" w:rsidRPr="00917609" w:rsidRDefault="00F00500" w:rsidP="00C45162">
            <w:pPr>
              <w:spacing w:after="0"/>
              <w:contextualSpacing/>
              <w:jc w:val="both"/>
              <w:rPr>
                <w:color w:val="000000" w:themeColor="text1"/>
                <w:szCs w:val="22"/>
                <w:lang w:val="en-GB" w:eastAsia="ja-JP"/>
              </w:rPr>
            </w:pPr>
            <w:r w:rsidRPr="00917609">
              <w:rPr>
                <w:color w:val="000000" w:themeColor="text1"/>
                <w:szCs w:val="22"/>
                <w:lang w:val="en-GB" w:eastAsia="ja-JP"/>
              </w:rPr>
              <w:t>Value</w:t>
            </w:r>
          </w:p>
        </w:tc>
      </w:tr>
      <w:tr w:rsidR="00F00500" w:rsidRPr="000A5B6A" w14:paraId="19597643" w14:textId="77777777" w:rsidTr="00C45162">
        <w:trPr>
          <w:trHeight w:val="140"/>
        </w:trPr>
        <w:tc>
          <w:tcPr>
            <w:tcW w:w="4253" w:type="dxa"/>
            <w:gridSpan w:val="2"/>
            <w:shd w:val="clear" w:color="auto" w:fill="auto"/>
            <w:tcMar>
              <w:top w:w="72" w:type="dxa"/>
              <w:left w:w="144" w:type="dxa"/>
              <w:bottom w:w="72" w:type="dxa"/>
              <w:right w:w="144" w:type="dxa"/>
            </w:tcMar>
            <w:hideMark/>
          </w:tcPr>
          <w:p w14:paraId="00CF00D7" w14:textId="77777777" w:rsidR="00F00500" w:rsidRPr="00917609" w:rsidRDefault="00F00500" w:rsidP="00C45162">
            <w:pPr>
              <w:spacing w:after="0"/>
              <w:contextualSpacing/>
              <w:rPr>
                <w:color w:val="000000" w:themeColor="text1"/>
                <w:szCs w:val="22"/>
                <w:lang w:val="en-GB" w:eastAsia="ja-JP"/>
              </w:rPr>
            </w:pPr>
            <w:r w:rsidRPr="00917609">
              <w:rPr>
                <w:color w:val="000000" w:themeColor="text1"/>
                <w:szCs w:val="22"/>
                <w:lang w:val="en-GB" w:eastAsia="ja-JP"/>
              </w:rPr>
              <w:t xml:space="preserve">Duplex, Waveform </w:t>
            </w:r>
          </w:p>
        </w:tc>
        <w:tc>
          <w:tcPr>
            <w:tcW w:w="5377" w:type="dxa"/>
            <w:shd w:val="clear" w:color="auto" w:fill="auto"/>
            <w:tcMar>
              <w:top w:w="72" w:type="dxa"/>
              <w:left w:w="144" w:type="dxa"/>
              <w:bottom w:w="72" w:type="dxa"/>
              <w:right w:w="144" w:type="dxa"/>
            </w:tcMar>
            <w:hideMark/>
          </w:tcPr>
          <w:p w14:paraId="205FE178" w14:textId="77777777" w:rsidR="00F00500" w:rsidRPr="00917609" w:rsidRDefault="00F00500" w:rsidP="00C45162">
            <w:pPr>
              <w:spacing w:after="0"/>
              <w:contextualSpacing/>
              <w:jc w:val="both"/>
              <w:rPr>
                <w:color w:val="000000" w:themeColor="text1"/>
                <w:szCs w:val="22"/>
                <w:lang w:val="en-GB" w:eastAsia="ja-JP"/>
              </w:rPr>
            </w:pPr>
            <w:r w:rsidRPr="00917609">
              <w:rPr>
                <w:color w:val="000000" w:themeColor="text1"/>
                <w:szCs w:val="22"/>
                <w:lang w:val="en-GB" w:eastAsia="ja-JP"/>
              </w:rPr>
              <w:t xml:space="preserve">FDD, OFDM </w:t>
            </w:r>
          </w:p>
        </w:tc>
      </w:tr>
      <w:tr w:rsidR="00F00500" w:rsidRPr="000A5B6A" w14:paraId="7BF381BE" w14:textId="77777777" w:rsidTr="00C45162">
        <w:trPr>
          <w:trHeight w:val="185"/>
        </w:trPr>
        <w:tc>
          <w:tcPr>
            <w:tcW w:w="4253" w:type="dxa"/>
            <w:gridSpan w:val="2"/>
            <w:shd w:val="clear" w:color="auto" w:fill="auto"/>
            <w:tcMar>
              <w:top w:w="72" w:type="dxa"/>
              <w:left w:w="144" w:type="dxa"/>
              <w:bottom w:w="72" w:type="dxa"/>
              <w:right w:w="144" w:type="dxa"/>
            </w:tcMar>
            <w:hideMark/>
          </w:tcPr>
          <w:p w14:paraId="181ABA20" w14:textId="77777777" w:rsidR="00F00500" w:rsidRPr="00917609" w:rsidRDefault="00F00500" w:rsidP="00C45162">
            <w:pPr>
              <w:spacing w:after="0"/>
              <w:contextualSpacing/>
              <w:rPr>
                <w:color w:val="000000" w:themeColor="text1"/>
                <w:szCs w:val="22"/>
                <w:lang w:val="en-GB" w:eastAsia="ja-JP"/>
              </w:rPr>
            </w:pPr>
            <w:r w:rsidRPr="00917609">
              <w:rPr>
                <w:color w:val="000000" w:themeColor="text1"/>
                <w:szCs w:val="22"/>
                <w:lang w:val="en-GB" w:eastAsia="ja-JP"/>
              </w:rPr>
              <w:t xml:space="preserve">Multiple access </w:t>
            </w:r>
          </w:p>
        </w:tc>
        <w:tc>
          <w:tcPr>
            <w:tcW w:w="5377" w:type="dxa"/>
            <w:shd w:val="clear" w:color="auto" w:fill="auto"/>
            <w:tcMar>
              <w:top w:w="72" w:type="dxa"/>
              <w:left w:w="144" w:type="dxa"/>
              <w:bottom w:w="72" w:type="dxa"/>
              <w:right w:w="144" w:type="dxa"/>
            </w:tcMar>
            <w:hideMark/>
          </w:tcPr>
          <w:p w14:paraId="54632E49" w14:textId="77777777" w:rsidR="00F00500" w:rsidRPr="00917609" w:rsidRDefault="00F00500" w:rsidP="00C45162">
            <w:pPr>
              <w:spacing w:after="0"/>
              <w:contextualSpacing/>
              <w:jc w:val="both"/>
              <w:rPr>
                <w:color w:val="000000" w:themeColor="text1"/>
                <w:szCs w:val="22"/>
                <w:lang w:val="en-GB" w:eastAsia="ja-JP"/>
              </w:rPr>
            </w:pPr>
            <w:r w:rsidRPr="00917609">
              <w:rPr>
                <w:color w:val="000000" w:themeColor="text1"/>
                <w:szCs w:val="22"/>
                <w:lang w:val="en-GB" w:eastAsia="ja-JP"/>
              </w:rPr>
              <w:t xml:space="preserve">OFDMA </w:t>
            </w:r>
          </w:p>
        </w:tc>
      </w:tr>
      <w:tr w:rsidR="00F00500" w:rsidRPr="000A5B6A" w14:paraId="39CB59F7" w14:textId="77777777" w:rsidTr="00C45162">
        <w:trPr>
          <w:trHeight w:val="1687"/>
        </w:trPr>
        <w:tc>
          <w:tcPr>
            <w:tcW w:w="4253" w:type="dxa"/>
            <w:gridSpan w:val="2"/>
            <w:shd w:val="clear" w:color="auto" w:fill="auto"/>
            <w:tcMar>
              <w:top w:w="72" w:type="dxa"/>
              <w:left w:w="144" w:type="dxa"/>
              <w:bottom w:w="72" w:type="dxa"/>
              <w:right w:w="144" w:type="dxa"/>
            </w:tcMar>
          </w:tcPr>
          <w:p w14:paraId="47C548AA" w14:textId="77777777" w:rsidR="00F00500" w:rsidRPr="00917609" w:rsidRDefault="00F00500" w:rsidP="00C45162">
            <w:pPr>
              <w:spacing w:after="0"/>
              <w:contextualSpacing/>
              <w:rPr>
                <w:color w:val="000000" w:themeColor="text1"/>
                <w:szCs w:val="22"/>
                <w:lang w:val="en-GB" w:eastAsia="ja-JP"/>
              </w:rPr>
            </w:pPr>
            <w:r w:rsidRPr="00917609">
              <w:rPr>
                <w:color w:val="000000" w:themeColor="text1"/>
                <w:szCs w:val="22"/>
                <w:lang w:val="en-GB" w:eastAsia="ja-JP"/>
              </w:rPr>
              <w:t>Scenario</w:t>
            </w:r>
          </w:p>
        </w:tc>
        <w:tc>
          <w:tcPr>
            <w:tcW w:w="5377" w:type="dxa"/>
            <w:shd w:val="clear" w:color="auto" w:fill="auto"/>
            <w:tcMar>
              <w:top w:w="72" w:type="dxa"/>
              <w:left w:w="144" w:type="dxa"/>
              <w:bottom w:w="72" w:type="dxa"/>
              <w:right w:w="144" w:type="dxa"/>
            </w:tcMar>
          </w:tcPr>
          <w:p w14:paraId="7681784C" w14:textId="77777777" w:rsidR="00F00500" w:rsidRDefault="00F00500" w:rsidP="00C45162">
            <w:pPr>
              <w:spacing w:after="0"/>
              <w:contextualSpacing/>
              <w:jc w:val="both"/>
              <w:rPr>
                <w:color w:val="000000" w:themeColor="text1"/>
                <w:szCs w:val="22"/>
                <w:lang w:val="en-GB" w:eastAsia="ja-JP"/>
              </w:rPr>
            </w:pPr>
            <w:r>
              <w:rPr>
                <w:color w:val="000000" w:themeColor="text1"/>
                <w:szCs w:val="22"/>
                <w:lang w:val="en-GB" w:eastAsia="ja-JP"/>
              </w:rPr>
              <w:t xml:space="preserve">Outdoor1: </w:t>
            </w:r>
            <w:r w:rsidRPr="00917609">
              <w:rPr>
                <w:color w:val="000000" w:themeColor="text1"/>
                <w:szCs w:val="22"/>
                <w:lang w:val="en-GB" w:eastAsia="ja-JP"/>
              </w:rPr>
              <w:t>Dense urban macro</w:t>
            </w:r>
            <w:r>
              <w:rPr>
                <w:color w:val="000000" w:themeColor="text1"/>
                <w:szCs w:val="22"/>
                <w:lang w:val="en-GB" w:eastAsia="ja-JP"/>
              </w:rPr>
              <w:t xml:space="preserve"> with 4 intra-cell TRPs</w:t>
            </w:r>
          </w:p>
          <w:p w14:paraId="5FF0F3F1" w14:textId="77777777" w:rsidR="00F00500" w:rsidRPr="00917609" w:rsidRDefault="00F00500" w:rsidP="00C45162">
            <w:pPr>
              <w:spacing w:after="0"/>
              <w:contextualSpacing/>
              <w:jc w:val="both"/>
              <w:rPr>
                <w:color w:val="000000" w:themeColor="text1"/>
                <w:szCs w:val="22"/>
                <w:lang w:val="en-GB" w:eastAsia="ja-JP"/>
              </w:rPr>
            </w:pPr>
            <w:r>
              <w:rPr>
                <w:noProof/>
              </w:rPr>
              <w:drawing>
                <wp:inline distT="0" distB="0" distL="0" distR="0" wp14:anchorId="2054030D" wp14:editId="5205CAFC">
                  <wp:extent cx="1066800" cy="1021788"/>
                  <wp:effectExtent l="0" t="0" r="0" b="6985"/>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1025718" cy="982439"/>
                          </a:xfrm>
                          <a:prstGeom prst="rect">
                            <a:avLst/>
                          </a:prstGeom>
                        </pic:spPr>
                      </pic:pic>
                    </a:graphicData>
                  </a:graphic>
                </wp:inline>
              </w:drawing>
            </w:r>
            <w:r w:rsidRPr="00917609">
              <w:rPr>
                <w:color w:val="000000" w:themeColor="text1"/>
                <w:szCs w:val="22"/>
                <w:lang w:val="en-GB" w:eastAsia="ja-JP"/>
              </w:rPr>
              <w:t xml:space="preserve"> </w:t>
            </w:r>
          </w:p>
        </w:tc>
      </w:tr>
      <w:tr w:rsidR="00F00500" w:rsidRPr="000A5B6A" w14:paraId="1A02DE2D" w14:textId="77777777" w:rsidTr="00C45162">
        <w:trPr>
          <w:trHeight w:val="185"/>
        </w:trPr>
        <w:tc>
          <w:tcPr>
            <w:tcW w:w="4253" w:type="dxa"/>
            <w:gridSpan w:val="2"/>
            <w:shd w:val="clear" w:color="auto" w:fill="auto"/>
            <w:tcMar>
              <w:top w:w="72" w:type="dxa"/>
              <w:left w:w="144" w:type="dxa"/>
              <w:bottom w:w="72" w:type="dxa"/>
              <w:right w:w="144" w:type="dxa"/>
            </w:tcMar>
          </w:tcPr>
          <w:p w14:paraId="49472468" w14:textId="77777777" w:rsidR="00F00500" w:rsidRPr="00917609" w:rsidRDefault="00F00500" w:rsidP="00C45162">
            <w:pPr>
              <w:spacing w:after="0"/>
              <w:contextualSpacing/>
              <w:rPr>
                <w:color w:val="000000" w:themeColor="text1"/>
                <w:szCs w:val="22"/>
                <w:lang w:val="en-GB" w:eastAsia="ja-JP"/>
              </w:rPr>
            </w:pPr>
            <w:r w:rsidRPr="00917609">
              <w:rPr>
                <w:color w:val="000000" w:themeColor="text1"/>
                <w:szCs w:val="22"/>
                <w:lang w:val="en-GB" w:eastAsia="ja-JP"/>
              </w:rPr>
              <w:t>Frequency Range</w:t>
            </w:r>
          </w:p>
        </w:tc>
        <w:tc>
          <w:tcPr>
            <w:tcW w:w="5377" w:type="dxa"/>
            <w:shd w:val="clear" w:color="auto" w:fill="auto"/>
            <w:tcMar>
              <w:top w:w="72" w:type="dxa"/>
              <w:left w:w="144" w:type="dxa"/>
              <w:bottom w:w="72" w:type="dxa"/>
              <w:right w:w="144" w:type="dxa"/>
            </w:tcMar>
          </w:tcPr>
          <w:p w14:paraId="494C9527" w14:textId="77777777" w:rsidR="00F00500" w:rsidRPr="00917609" w:rsidRDefault="00F00500" w:rsidP="00C45162">
            <w:pPr>
              <w:spacing w:after="0"/>
              <w:contextualSpacing/>
              <w:jc w:val="both"/>
              <w:rPr>
                <w:color w:val="000000" w:themeColor="text1"/>
                <w:szCs w:val="22"/>
                <w:lang w:val="en-GB" w:eastAsia="ja-JP"/>
              </w:rPr>
            </w:pPr>
            <w:r w:rsidRPr="00917609">
              <w:rPr>
                <w:color w:val="000000" w:themeColor="text1"/>
                <w:szCs w:val="22"/>
                <w:lang w:val="en-GB" w:eastAsia="ja-JP"/>
              </w:rPr>
              <w:t>2 GHz</w:t>
            </w:r>
          </w:p>
        </w:tc>
      </w:tr>
      <w:tr w:rsidR="00F00500" w:rsidRPr="000A5B6A" w14:paraId="7B2598FF" w14:textId="77777777" w:rsidTr="00C45162">
        <w:trPr>
          <w:trHeight w:val="131"/>
        </w:trPr>
        <w:tc>
          <w:tcPr>
            <w:tcW w:w="4253" w:type="dxa"/>
            <w:gridSpan w:val="2"/>
            <w:shd w:val="clear" w:color="auto" w:fill="auto"/>
            <w:tcMar>
              <w:top w:w="72" w:type="dxa"/>
              <w:left w:w="144" w:type="dxa"/>
              <w:bottom w:w="72" w:type="dxa"/>
              <w:right w:w="144" w:type="dxa"/>
            </w:tcMar>
          </w:tcPr>
          <w:p w14:paraId="7B121220" w14:textId="77777777" w:rsidR="00F00500" w:rsidRPr="00917609" w:rsidRDefault="00F00500" w:rsidP="00C45162">
            <w:pPr>
              <w:spacing w:after="0"/>
              <w:contextualSpacing/>
              <w:rPr>
                <w:color w:val="000000" w:themeColor="text1"/>
                <w:szCs w:val="22"/>
                <w:lang w:val="en-GB" w:eastAsia="ja-JP"/>
              </w:rPr>
            </w:pPr>
            <w:r w:rsidRPr="00917609">
              <w:rPr>
                <w:color w:val="000000" w:themeColor="text1"/>
                <w:szCs w:val="22"/>
                <w:lang w:val="en-GB" w:eastAsia="ja-JP"/>
              </w:rPr>
              <w:t>Inter</w:t>
            </w:r>
            <w:r>
              <w:rPr>
                <w:color w:val="000000" w:themeColor="text1"/>
                <w:szCs w:val="22"/>
                <w:lang w:val="en-GB" w:eastAsia="ja-JP"/>
              </w:rPr>
              <w:t>-site</w:t>
            </w:r>
            <w:r w:rsidRPr="00917609">
              <w:rPr>
                <w:color w:val="000000" w:themeColor="text1"/>
                <w:szCs w:val="22"/>
                <w:lang w:val="en-GB" w:eastAsia="ja-JP"/>
              </w:rPr>
              <w:t xml:space="preserve"> distance</w:t>
            </w:r>
          </w:p>
        </w:tc>
        <w:tc>
          <w:tcPr>
            <w:tcW w:w="5377" w:type="dxa"/>
            <w:shd w:val="clear" w:color="auto" w:fill="auto"/>
            <w:tcMar>
              <w:top w:w="72" w:type="dxa"/>
              <w:left w:w="144" w:type="dxa"/>
              <w:bottom w:w="72" w:type="dxa"/>
              <w:right w:w="144" w:type="dxa"/>
            </w:tcMar>
          </w:tcPr>
          <w:p w14:paraId="7F4E5526" w14:textId="77777777" w:rsidR="00F00500" w:rsidRPr="00917609" w:rsidRDefault="00F00500" w:rsidP="00C45162">
            <w:pPr>
              <w:spacing w:after="0"/>
              <w:contextualSpacing/>
              <w:jc w:val="both"/>
              <w:rPr>
                <w:color w:val="000000" w:themeColor="text1"/>
                <w:szCs w:val="22"/>
                <w:lang w:val="en-GB" w:eastAsia="ja-JP"/>
              </w:rPr>
            </w:pPr>
            <w:r w:rsidRPr="00917609">
              <w:rPr>
                <w:color w:val="000000" w:themeColor="text1"/>
                <w:szCs w:val="22"/>
                <w:lang w:val="en-GB" w:eastAsia="ja-JP"/>
              </w:rPr>
              <w:t xml:space="preserve">200 m </w:t>
            </w:r>
          </w:p>
        </w:tc>
      </w:tr>
      <w:tr w:rsidR="00F00500" w:rsidRPr="000A5B6A" w14:paraId="5D4008E3" w14:textId="77777777" w:rsidTr="00C45162">
        <w:trPr>
          <w:trHeight w:val="356"/>
        </w:trPr>
        <w:tc>
          <w:tcPr>
            <w:tcW w:w="4253" w:type="dxa"/>
            <w:gridSpan w:val="2"/>
            <w:shd w:val="clear" w:color="auto" w:fill="auto"/>
            <w:tcMar>
              <w:top w:w="72" w:type="dxa"/>
              <w:left w:w="144" w:type="dxa"/>
              <w:bottom w:w="72" w:type="dxa"/>
              <w:right w:w="144" w:type="dxa"/>
            </w:tcMar>
          </w:tcPr>
          <w:p w14:paraId="6C6B7B20" w14:textId="77777777" w:rsidR="00F00500" w:rsidRPr="00917609" w:rsidRDefault="00F00500" w:rsidP="00C45162">
            <w:pPr>
              <w:spacing w:after="0"/>
              <w:contextualSpacing/>
              <w:rPr>
                <w:color w:val="000000" w:themeColor="text1"/>
                <w:szCs w:val="22"/>
                <w:lang w:val="en-GB" w:eastAsia="ja-JP"/>
              </w:rPr>
            </w:pPr>
            <w:r w:rsidRPr="00917609">
              <w:rPr>
                <w:color w:val="000000" w:themeColor="text1"/>
                <w:szCs w:val="22"/>
                <w:lang w:val="en-GB" w:eastAsia="ja-JP"/>
              </w:rPr>
              <w:t>Channel model</w:t>
            </w:r>
          </w:p>
        </w:tc>
        <w:tc>
          <w:tcPr>
            <w:tcW w:w="5377" w:type="dxa"/>
            <w:shd w:val="clear" w:color="auto" w:fill="auto"/>
            <w:tcMar>
              <w:top w:w="72" w:type="dxa"/>
              <w:left w:w="144" w:type="dxa"/>
              <w:bottom w:w="72" w:type="dxa"/>
              <w:right w:w="144" w:type="dxa"/>
            </w:tcMar>
          </w:tcPr>
          <w:p w14:paraId="725F6AA4" w14:textId="77777777" w:rsidR="00F00500" w:rsidRDefault="00F00500" w:rsidP="00C45162">
            <w:pPr>
              <w:spacing w:after="0"/>
              <w:rPr>
                <w:color w:val="000000" w:themeColor="text1"/>
                <w:szCs w:val="22"/>
                <w:lang w:val="en-GB" w:eastAsia="ja-JP"/>
              </w:rPr>
            </w:pPr>
            <w:r w:rsidRPr="00917609">
              <w:rPr>
                <w:color w:val="000000" w:themeColor="text1"/>
                <w:szCs w:val="22"/>
                <w:lang w:val="en-GB" w:eastAsia="ja-JP"/>
              </w:rPr>
              <w:t>Based on TR 38.901</w:t>
            </w:r>
            <w:r>
              <w:rPr>
                <w:color w:val="000000" w:themeColor="text1"/>
                <w:szCs w:val="22"/>
                <w:lang w:val="en-GB" w:eastAsia="ja-JP"/>
              </w:rPr>
              <w:t>.</w:t>
            </w:r>
          </w:p>
          <w:p w14:paraId="518B04B2" w14:textId="77777777" w:rsidR="00F00500" w:rsidRPr="00917609" w:rsidRDefault="00F00500" w:rsidP="00C45162">
            <w:pPr>
              <w:spacing w:after="0"/>
              <w:rPr>
                <w:color w:val="000000" w:themeColor="text1"/>
                <w:szCs w:val="22"/>
                <w:lang w:val="en-GB" w:eastAsia="ja-JP"/>
              </w:rPr>
            </w:pPr>
            <w:r w:rsidRPr="001A3AD6">
              <w:rPr>
                <w:color w:val="000000" w:themeColor="text1"/>
                <w:szCs w:val="22"/>
                <w:lang w:val="en-GB" w:eastAsia="ja-JP"/>
              </w:rPr>
              <w:lastRenderedPageBreak/>
              <w:t>Difference in propagation delays between UE and N</w:t>
            </w:r>
            <w:r w:rsidRPr="001A3AD6">
              <w:rPr>
                <w:color w:val="000000" w:themeColor="text1"/>
                <w:szCs w:val="22"/>
                <w:vertAlign w:val="subscript"/>
                <w:lang w:val="en-GB" w:eastAsia="ja-JP"/>
              </w:rPr>
              <w:t>TRP</w:t>
            </w:r>
            <w:r w:rsidRPr="001A3AD6">
              <w:rPr>
                <w:color w:val="000000" w:themeColor="text1"/>
                <w:szCs w:val="22"/>
                <w:lang w:val="en-GB" w:eastAsia="ja-JP"/>
              </w:rPr>
              <w:t xml:space="preserve"> TRPs is taken into account in the composite Channel Impulse Response (CIR)</w:t>
            </w:r>
          </w:p>
        </w:tc>
      </w:tr>
      <w:tr w:rsidR="00F00500" w:rsidRPr="000A5B6A" w14:paraId="21B10F21" w14:textId="77777777" w:rsidTr="00C45162">
        <w:trPr>
          <w:trHeight w:val="287"/>
        </w:trPr>
        <w:tc>
          <w:tcPr>
            <w:tcW w:w="4253" w:type="dxa"/>
            <w:gridSpan w:val="2"/>
            <w:shd w:val="clear" w:color="auto" w:fill="auto"/>
            <w:tcMar>
              <w:top w:w="72" w:type="dxa"/>
              <w:left w:w="144" w:type="dxa"/>
              <w:bottom w:w="72" w:type="dxa"/>
              <w:right w:w="144" w:type="dxa"/>
            </w:tcMar>
          </w:tcPr>
          <w:p w14:paraId="7CA1DFB4" w14:textId="77777777" w:rsidR="00F00500" w:rsidRPr="00917609" w:rsidRDefault="00F00500" w:rsidP="00C45162">
            <w:pPr>
              <w:spacing w:after="0"/>
              <w:contextualSpacing/>
              <w:rPr>
                <w:color w:val="000000" w:themeColor="text1"/>
                <w:szCs w:val="22"/>
                <w:lang w:val="en-GB" w:eastAsia="ja-JP"/>
              </w:rPr>
            </w:pPr>
            <w:r w:rsidRPr="00917609">
              <w:rPr>
                <w:color w:val="000000" w:themeColor="text1"/>
                <w:szCs w:val="22"/>
                <w:lang w:val="en-GB" w:eastAsia="ja-JP"/>
              </w:rPr>
              <w:lastRenderedPageBreak/>
              <w:t xml:space="preserve">Antenna setup and port layouts at </w:t>
            </w:r>
            <w:r>
              <w:rPr>
                <w:color w:val="000000" w:themeColor="text1"/>
                <w:szCs w:val="22"/>
                <w:lang w:val="en-GB" w:eastAsia="ja-JP"/>
              </w:rPr>
              <w:t>each TRP</w:t>
            </w:r>
          </w:p>
        </w:tc>
        <w:tc>
          <w:tcPr>
            <w:tcW w:w="5377" w:type="dxa"/>
            <w:shd w:val="clear" w:color="auto" w:fill="auto"/>
            <w:tcMar>
              <w:top w:w="72" w:type="dxa"/>
              <w:left w:w="144" w:type="dxa"/>
              <w:bottom w:w="72" w:type="dxa"/>
              <w:right w:w="144" w:type="dxa"/>
            </w:tcMar>
          </w:tcPr>
          <w:p w14:paraId="690FE42A" w14:textId="77777777" w:rsidR="00F00500" w:rsidRPr="00917609" w:rsidRDefault="00F00500" w:rsidP="00C45162">
            <w:pPr>
              <w:pStyle w:val="ListParagraph"/>
              <w:autoSpaceDE w:val="0"/>
              <w:autoSpaceDN w:val="0"/>
              <w:adjustRightInd w:val="0"/>
              <w:snapToGrid w:val="0"/>
              <w:spacing w:after="0"/>
              <w:ind w:left="0"/>
              <w:rPr>
                <w:color w:val="000000" w:themeColor="text1"/>
                <w:szCs w:val="22"/>
                <w:lang w:val="en-GB" w:eastAsia="ja-JP"/>
              </w:rPr>
            </w:pPr>
            <w:r>
              <w:rPr>
                <w:color w:val="000000" w:themeColor="text1"/>
                <w:szCs w:val="22"/>
                <w:lang w:val="en-GB" w:eastAsia="ja-JP"/>
              </w:rPr>
              <w:t>8</w:t>
            </w:r>
            <w:r w:rsidRPr="00917609">
              <w:rPr>
                <w:color w:val="000000" w:themeColor="text1"/>
                <w:szCs w:val="22"/>
                <w:lang w:val="en-GB" w:eastAsia="ja-JP"/>
              </w:rPr>
              <w:t xml:space="preserve"> ports: (</w:t>
            </w:r>
            <w:r>
              <w:rPr>
                <w:color w:val="000000" w:themeColor="text1"/>
                <w:szCs w:val="22"/>
                <w:lang w:val="en-GB" w:eastAsia="ja-JP"/>
              </w:rPr>
              <w:t>4</w:t>
            </w:r>
            <w:r w:rsidRPr="00917609">
              <w:rPr>
                <w:color w:val="000000" w:themeColor="text1"/>
                <w:szCs w:val="22"/>
                <w:lang w:val="en-GB" w:eastAsia="ja-JP"/>
              </w:rPr>
              <w:t>,</w:t>
            </w:r>
            <w:r>
              <w:rPr>
                <w:color w:val="000000" w:themeColor="text1"/>
                <w:szCs w:val="22"/>
                <w:lang w:val="en-GB" w:eastAsia="ja-JP"/>
              </w:rPr>
              <w:t>4</w:t>
            </w:r>
            <w:r w:rsidRPr="00917609">
              <w:rPr>
                <w:color w:val="000000" w:themeColor="text1"/>
                <w:szCs w:val="22"/>
                <w:lang w:val="en-GB" w:eastAsia="ja-JP"/>
              </w:rPr>
              <w:t>,2,1,1,</w:t>
            </w:r>
            <w:r>
              <w:rPr>
                <w:color w:val="000000" w:themeColor="text1"/>
                <w:szCs w:val="22"/>
                <w:lang w:val="en-GB" w:eastAsia="ja-JP"/>
              </w:rPr>
              <w:t>1</w:t>
            </w:r>
            <w:r w:rsidRPr="00917609">
              <w:rPr>
                <w:color w:val="000000" w:themeColor="text1"/>
                <w:szCs w:val="22"/>
                <w:lang w:val="en-GB" w:eastAsia="ja-JP"/>
              </w:rPr>
              <w:t>,</w:t>
            </w:r>
            <w:r>
              <w:rPr>
                <w:color w:val="000000" w:themeColor="text1"/>
                <w:szCs w:val="22"/>
                <w:lang w:val="en-GB" w:eastAsia="ja-JP"/>
              </w:rPr>
              <w:t>4</w:t>
            </w:r>
            <w:r w:rsidRPr="00917609">
              <w:rPr>
                <w:color w:val="000000" w:themeColor="text1"/>
                <w:szCs w:val="22"/>
                <w:lang w:val="en-GB" w:eastAsia="ja-JP"/>
              </w:rPr>
              <w:t xml:space="preserve">), (dH,dV) = (0.5, 0.8)λ </w:t>
            </w:r>
          </w:p>
        </w:tc>
      </w:tr>
      <w:tr w:rsidR="00F00500" w:rsidRPr="000A5B6A" w14:paraId="067CBCB5" w14:textId="77777777" w:rsidTr="00C45162">
        <w:trPr>
          <w:trHeight w:val="221"/>
        </w:trPr>
        <w:tc>
          <w:tcPr>
            <w:tcW w:w="4253" w:type="dxa"/>
            <w:gridSpan w:val="2"/>
            <w:shd w:val="clear" w:color="auto" w:fill="auto"/>
            <w:tcMar>
              <w:top w:w="72" w:type="dxa"/>
              <w:left w:w="144" w:type="dxa"/>
              <w:bottom w:w="72" w:type="dxa"/>
              <w:right w:w="144" w:type="dxa"/>
            </w:tcMar>
          </w:tcPr>
          <w:p w14:paraId="209E1FBC" w14:textId="77777777" w:rsidR="00F00500" w:rsidRPr="00917609" w:rsidRDefault="00F00500" w:rsidP="00C45162">
            <w:pPr>
              <w:spacing w:after="0"/>
              <w:contextualSpacing/>
              <w:rPr>
                <w:color w:val="000000" w:themeColor="text1"/>
                <w:szCs w:val="22"/>
                <w:lang w:val="en-GB" w:eastAsia="ja-JP"/>
              </w:rPr>
            </w:pPr>
            <w:r w:rsidRPr="00917609">
              <w:rPr>
                <w:color w:val="000000" w:themeColor="text1"/>
                <w:szCs w:val="22"/>
                <w:lang w:val="en-GB" w:eastAsia="ja-JP"/>
              </w:rPr>
              <w:t>Antenna setup and port layouts at UE</w:t>
            </w:r>
          </w:p>
        </w:tc>
        <w:tc>
          <w:tcPr>
            <w:tcW w:w="5377" w:type="dxa"/>
            <w:shd w:val="clear" w:color="auto" w:fill="auto"/>
            <w:tcMar>
              <w:top w:w="72" w:type="dxa"/>
              <w:left w:w="144" w:type="dxa"/>
              <w:bottom w:w="72" w:type="dxa"/>
              <w:right w:w="144" w:type="dxa"/>
            </w:tcMar>
          </w:tcPr>
          <w:p w14:paraId="6D34325B" w14:textId="77777777" w:rsidR="00F00500" w:rsidRPr="00917609" w:rsidRDefault="00F00500" w:rsidP="00C45162">
            <w:pPr>
              <w:spacing w:after="0"/>
              <w:contextualSpacing/>
              <w:jc w:val="both"/>
              <w:rPr>
                <w:color w:val="000000" w:themeColor="text1"/>
                <w:szCs w:val="22"/>
                <w:lang w:val="en-GB" w:eastAsia="ja-JP"/>
              </w:rPr>
            </w:pPr>
            <w:r>
              <w:rPr>
                <w:color w:val="000000" w:themeColor="text1"/>
                <w:szCs w:val="22"/>
                <w:lang w:val="en-GB" w:eastAsia="ja-JP"/>
              </w:rPr>
              <w:t>2RX: (1</w:t>
            </w:r>
            <w:r w:rsidRPr="00917609">
              <w:rPr>
                <w:color w:val="000000" w:themeColor="text1"/>
                <w:szCs w:val="22"/>
                <w:lang w:val="en-GB" w:eastAsia="ja-JP"/>
              </w:rPr>
              <w:t>,1,2,1,1,1,1)</w:t>
            </w:r>
          </w:p>
        </w:tc>
      </w:tr>
      <w:tr w:rsidR="00F00500" w:rsidRPr="000A5B6A" w14:paraId="4CDE2D07" w14:textId="77777777" w:rsidTr="00C45162">
        <w:trPr>
          <w:trHeight w:val="111"/>
        </w:trPr>
        <w:tc>
          <w:tcPr>
            <w:tcW w:w="4253" w:type="dxa"/>
            <w:gridSpan w:val="2"/>
            <w:shd w:val="clear" w:color="auto" w:fill="auto"/>
            <w:tcMar>
              <w:top w:w="72" w:type="dxa"/>
              <w:left w:w="144" w:type="dxa"/>
              <w:bottom w:w="72" w:type="dxa"/>
              <w:right w:w="144" w:type="dxa"/>
            </w:tcMar>
          </w:tcPr>
          <w:p w14:paraId="7A6011BD" w14:textId="77777777" w:rsidR="00F00500" w:rsidRPr="00917609" w:rsidRDefault="00F00500" w:rsidP="00C45162">
            <w:pPr>
              <w:spacing w:after="0"/>
              <w:contextualSpacing/>
              <w:rPr>
                <w:color w:val="000000" w:themeColor="text1"/>
                <w:szCs w:val="22"/>
                <w:lang w:val="en-GB" w:eastAsia="ja-JP"/>
              </w:rPr>
            </w:pPr>
            <w:r w:rsidRPr="00917609">
              <w:rPr>
                <w:color w:val="000000" w:themeColor="text1"/>
                <w:szCs w:val="22"/>
                <w:lang w:val="en-GB" w:eastAsia="ja-JP"/>
              </w:rPr>
              <w:t xml:space="preserve">BS Tx power </w:t>
            </w:r>
          </w:p>
        </w:tc>
        <w:tc>
          <w:tcPr>
            <w:tcW w:w="5377" w:type="dxa"/>
            <w:shd w:val="clear" w:color="auto" w:fill="auto"/>
            <w:tcMar>
              <w:top w:w="72" w:type="dxa"/>
              <w:left w:w="144" w:type="dxa"/>
              <w:bottom w:w="72" w:type="dxa"/>
              <w:right w:w="144" w:type="dxa"/>
            </w:tcMar>
          </w:tcPr>
          <w:p w14:paraId="52958362" w14:textId="77777777" w:rsidR="00F00500" w:rsidRPr="00917609" w:rsidRDefault="00F00500" w:rsidP="00C45162">
            <w:pPr>
              <w:spacing w:after="0"/>
              <w:contextualSpacing/>
              <w:jc w:val="both"/>
              <w:rPr>
                <w:color w:val="000000" w:themeColor="text1"/>
                <w:szCs w:val="22"/>
                <w:lang w:val="en-GB" w:eastAsia="ja-JP"/>
              </w:rPr>
            </w:pPr>
            <w:r w:rsidRPr="00917609">
              <w:rPr>
                <w:color w:val="000000" w:themeColor="text1"/>
                <w:szCs w:val="22"/>
                <w:lang w:val="en-GB" w:eastAsia="ja-JP"/>
              </w:rPr>
              <w:t>44 dBm</w:t>
            </w:r>
          </w:p>
        </w:tc>
      </w:tr>
      <w:tr w:rsidR="00F00500" w:rsidRPr="000A5B6A" w14:paraId="1313C7E1" w14:textId="77777777" w:rsidTr="00C45162">
        <w:trPr>
          <w:trHeight w:val="239"/>
        </w:trPr>
        <w:tc>
          <w:tcPr>
            <w:tcW w:w="4253" w:type="dxa"/>
            <w:gridSpan w:val="2"/>
            <w:shd w:val="clear" w:color="auto" w:fill="auto"/>
            <w:tcMar>
              <w:top w:w="72" w:type="dxa"/>
              <w:left w:w="144" w:type="dxa"/>
              <w:bottom w:w="72" w:type="dxa"/>
              <w:right w:w="144" w:type="dxa"/>
            </w:tcMar>
          </w:tcPr>
          <w:p w14:paraId="02724B00" w14:textId="77777777" w:rsidR="00F00500" w:rsidRPr="00917609" w:rsidRDefault="00F00500" w:rsidP="00C45162">
            <w:pPr>
              <w:spacing w:after="0"/>
              <w:contextualSpacing/>
              <w:rPr>
                <w:color w:val="000000" w:themeColor="text1"/>
                <w:szCs w:val="22"/>
                <w:lang w:val="en-GB" w:eastAsia="ja-JP"/>
              </w:rPr>
            </w:pPr>
            <w:r w:rsidRPr="00917609">
              <w:rPr>
                <w:color w:val="000000" w:themeColor="text1"/>
                <w:szCs w:val="22"/>
                <w:lang w:val="en-GB" w:eastAsia="ja-JP"/>
              </w:rPr>
              <w:t xml:space="preserve">BS antenna height </w:t>
            </w:r>
          </w:p>
        </w:tc>
        <w:tc>
          <w:tcPr>
            <w:tcW w:w="5377" w:type="dxa"/>
            <w:shd w:val="clear" w:color="auto" w:fill="auto"/>
            <w:tcMar>
              <w:top w:w="72" w:type="dxa"/>
              <w:left w:w="144" w:type="dxa"/>
              <w:bottom w:w="72" w:type="dxa"/>
              <w:right w:w="144" w:type="dxa"/>
            </w:tcMar>
          </w:tcPr>
          <w:p w14:paraId="75B3F03A" w14:textId="77777777" w:rsidR="00F00500" w:rsidRPr="00917609" w:rsidRDefault="00F00500" w:rsidP="00C45162">
            <w:pPr>
              <w:spacing w:after="0"/>
              <w:contextualSpacing/>
              <w:jc w:val="both"/>
              <w:rPr>
                <w:color w:val="000000" w:themeColor="text1"/>
                <w:szCs w:val="22"/>
                <w:lang w:val="en-GB" w:eastAsia="ja-JP"/>
              </w:rPr>
            </w:pPr>
            <w:r w:rsidRPr="00917609">
              <w:rPr>
                <w:color w:val="000000" w:themeColor="text1"/>
                <w:szCs w:val="22"/>
                <w:lang w:val="en-GB" w:eastAsia="ja-JP"/>
              </w:rPr>
              <w:t xml:space="preserve">25 m </w:t>
            </w:r>
          </w:p>
        </w:tc>
      </w:tr>
      <w:tr w:rsidR="00F00500" w:rsidRPr="000A5B6A" w14:paraId="00EA83B5" w14:textId="77777777" w:rsidTr="00C45162">
        <w:trPr>
          <w:trHeight w:val="185"/>
        </w:trPr>
        <w:tc>
          <w:tcPr>
            <w:tcW w:w="4253" w:type="dxa"/>
            <w:gridSpan w:val="2"/>
            <w:shd w:val="clear" w:color="auto" w:fill="auto"/>
            <w:tcMar>
              <w:top w:w="72" w:type="dxa"/>
              <w:left w:w="144" w:type="dxa"/>
              <w:bottom w:w="72" w:type="dxa"/>
              <w:right w:w="144" w:type="dxa"/>
            </w:tcMar>
          </w:tcPr>
          <w:p w14:paraId="78E7AF05" w14:textId="77777777" w:rsidR="00F00500" w:rsidRPr="00917609" w:rsidRDefault="00F00500" w:rsidP="00C45162">
            <w:pPr>
              <w:spacing w:after="0"/>
              <w:contextualSpacing/>
              <w:rPr>
                <w:color w:val="000000" w:themeColor="text1"/>
                <w:szCs w:val="22"/>
                <w:lang w:val="en-GB" w:eastAsia="ja-JP"/>
              </w:rPr>
            </w:pPr>
            <w:r w:rsidRPr="00917609">
              <w:rPr>
                <w:color w:val="000000" w:themeColor="text1"/>
                <w:szCs w:val="22"/>
                <w:lang w:val="en-GB" w:eastAsia="ja-JP"/>
              </w:rPr>
              <w:t>UE antenna height &amp; gain</w:t>
            </w:r>
          </w:p>
        </w:tc>
        <w:tc>
          <w:tcPr>
            <w:tcW w:w="5377" w:type="dxa"/>
            <w:shd w:val="clear" w:color="auto" w:fill="auto"/>
            <w:tcMar>
              <w:top w:w="72" w:type="dxa"/>
              <w:left w:w="144" w:type="dxa"/>
              <w:bottom w:w="72" w:type="dxa"/>
              <w:right w:w="144" w:type="dxa"/>
            </w:tcMar>
          </w:tcPr>
          <w:p w14:paraId="6B323A11" w14:textId="77777777" w:rsidR="00F00500" w:rsidRPr="00917609" w:rsidRDefault="00F00500" w:rsidP="00C45162">
            <w:pPr>
              <w:spacing w:after="0"/>
              <w:contextualSpacing/>
              <w:jc w:val="both"/>
              <w:rPr>
                <w:color w:val="000000" w:themeColor="text1"/>
                <w:szCs w:val="22"/>
                <w:lang w:val="en-GB" w:eastAsia="ja-JP"/>
              </w:rPr>
            </w:pPr>
            <w:r w:rsidRPr="00917609">
              <w:rPr>
                <w:color w:val="000000" w:themeColor="text1"/>
                <w:szCs w:val="22"/>
                <w:lang w:val="en-GB" w:eastAsia="ja-JP"/>
              </w:rPr>
              <w:t xml:space="preserve">According to TR36.873 </w:t>
            </w:r>
          </w:p>
        </w:tc>
      </w:tr>
      <w:tr w:rsidR="00F00500" w:rsidRPr="000A5B6A" w14:paraId="149808AB" w14:textId="77777777" w:rsidTr="00C45162">
        <w:trPr>
          <w:trHeight w:val="133"/>
        </w:trPr>
        <w:tc>
          <w:tcPr>
            <w:tcW w:w="4253" w:type="dxa"/>
            <w:gridSpan w:val="2"/>
            <w:shd w:val="clear" w:color="auto" w:fill="auto"/>
            <w:tcMar>
              <w:top w:w="72" w:type="dxa"/>
              <w:left w:w="144" w:type="dxa"/>
              <w:bottom w:w="72" w:type="dxa"/>
              <w:right w:w="144" w:type="dxa"/>
            </w:tcMar>
          </w:tcPr>
          <w:p w14:paraId="3FCB6F07" w14:textId="77777777" w:rsidR="00F00500" w:rsidRPr="00917609" w:rsidRDefault="00F00500" w:rsidP="00C45162">
            <w:pPr>
              <w:spacing w:after="0"/>
              <w:contextualSpacing/>
              <w:rPr>
                <w:color w:val="000000" w:themeColor="text1"/>
                <w:szCs w:val="22"/>
                <w:lang w:val="en-GB" w:eastAsia="ja-JP"/>
              </w:rPr>
            </w:pPr>
            <w:r w:rsidRPr="00917609">
              <w:rPr>
                <w:color w:val="000000" w:themeColor="text1"/>
                <w:szCs w:val="22"/>
                <w:lang w:val="en-GB" w:eastAsia="ja-JP"/>
              </w:rPr>
              <w:t>UE receiver noise figure</w:t>
            </w:r>
          </w:p>
        </w:tc>
        <w:tc>
          <w:tcPr>
            <w:tcW w:w="5377" w:type="dxa"/>
            <w:shd w:val="clear" w:color="auto" w:fill="auto"/>
            <w:tcMar>
              <w:top w:w="72" w:type="dxa"/>
              <w:left w:w="144" w:type="dxa"/>
              <w:bottom w:w="72" w:type="dxa"/>
              <w:right w:w="144" w:type="dxa"/>
            </w:tcMar>
          </w:tcPr>
          <w:p w14:paraId="7A6F22D4" w14:textId="77777777" w:rsidR="00F00500" w:rsidRPr="00917609" w:rsidRDefault="00F00500" w:rsidP="00C45162">
            <w:pPr>
              <w:spacing w:after="0"/>
              <w:contextualSpacing/>
              <w:jc w:val="both"/>
              <w:rPr>
                <w:color w:val="000000" w:themeColor="text1"/>
                <w:szCs w:val="22"/>
                <w:lang w:val="en-GB" w:eastAsia="ja-JP"/>
              </w:rPr>
            </w:pPr>
            <w:r w:rsidRPr="00917609">
              <w:rPr>
                <w:color w:val="000000" w:themeColor="text1"/>
                <w:szCs w:val="22"/>
                <w:lang w:val="en-GB" w:eastAsia="ja-JP"/>
              </w:rPr>
              <w:t>9 dB</w:t>
            </w:r>
          </w:p>
        </w:tc>
      </w:tr>
      <w:tr w:rsidR="00F00500" w:rsidRPr="000A5B6A" w14:paraId="6C841E71" w14:textId="77777777" w:rsidTr="00C45162">
        <w:trPr>
          <w:trHeight w:val="35"/>
        </w:trPr>
        <w:tc>
          <w:tcPr>
            <w:tcW w:w="4253" w:type="dxa"/>
            <w:gridSpan w:val="2"/>
            <w:shd w:val="clear" w:color="auto" w:fill="auto"/>
            <w:tcMar>
              <w:top w:w="72" w:type="dxa"/>
              <w:left w:w="144" w:type="dxa"/>
              <w:bottom w:w="72" w:type="dxa"/>
              <w:right w:w="144" w:type="dxa"/>
            </w:tcMar>
            <w:hideMark/>
          </w:tcPr>
          <w:p w14:paraId="27914018" w14:textId="77777777" w:rsidR="00F00500" w:rsidRPr="00917609" w:rsidRDefault="00F00500" w:rsidP="00C45162">
            <w:pPr>
              <w:spacing w:after="0"/>
              <w:contextualSpacing/>
              <w:rPr>
                <w:color w:val="000000" w:themeColor="text1"/>
                <w:szCs w:val="22"/>
                <w:lang w:val="en-GB" w:eastAsia="ja-JP"/>
              </w:rPr>
            </w:pPr>
            <w:r w:rsidRPr="00917609">
              <w:rPr>
                <w:color w:val="000000" w:themeColor="text1"/>
                <w:szCs w:val="22"/>
                <w:lang w:val="en-GB" w:eastAsia="ja-JP"/>
              </w:rPr>
              <w:t xml:space="preserve">Modulation </w:t>
            </w:r>
          </w:p>
        </w:tc>
        <w:tc>
          <w:tcPr>
            <w:tcW w:w="5377" w:type="dxa"/>
            <w:shd w:val="clear" w:color="auto" w:fill="auto"/>
            <w:tcMar>
              <w:top w:w="72" w:type="dxa"/>
              <w:left w:w="144" w:type="dxa"/>
              <w:bottom w:w="72" w:type="dxa"/>
              <w:right w:w="144" w:type="dxa"/>
            </w:tcMar>
            <w:hideMark/>
          </w:tcPr>
          <w:p w14:paraId="0A54A67F" w14:textId="77777777" w:rsidR="00F00500" w:rsidRPr="00917609" w:rsidRDefault="00F00500" w:rsidP="00C45162">
            <w:pPr>
              <w:spacing w:after="0"/>
              <w:contextualSpacing/>
              <w:jc w:val="both"/>
              <w:rPr>
                <w:color w:val="000000" w:themeColor="text1"/>
                <w:szCs w:val="22"/>
                <w:lang w:val="en-GB" w:eastAsia="ja-JP"/>
              </w:rPr>
            </w:pPr>
            <w:r w:rsidRPr="00917609">
              <w:rPr>
                <w:color w:val="000000" w:themeColor="text1"/>
                <w:szCs w:val="22"/>
                <w:lang w:val="en-GB" w:eastAsia="ja-JP"/>
              </w:rPr>
              <w:t xml:space="preserve">Up to 256QAM </w:t>
            </w:r>
          </w:p>
        </w:tc>
      </w:tr>
      <w:tr w:rsidR="00F00500" w:rsidRPr="000A5B6A" w14:paraId="44C83375" w14:textId="77777777" w:rsidTr="00C45162">
        <w:trPr>
          <w:trHeight w:val="194"/>
        </w:trPr>
        <w:tc>
          <w:tcPr>
            <w:tcW w:w="1475" w:type="dxa"/>
            <w:vMerge w:val="restart"/>
            <w:shd w:val="clear" w:color="auto" w:fill="auto"/>
            <w:tcMar>
              <w:top w:w="72" w:type="dxa"/>
              <w:left w:w="144" w:type="dxa"/>
              <w:bottom w:w="72" w:type="dxa"/>
              <w:right w:w="144" w:type="dxa"/>
            </w:tcMar>
            <w:hideMark/>
          </w:tcPr>
          <w:p w14:paraId="2390B9C2" w14:textId="77777777" w:rsidR="00F00500" w:rsidRPr="00917609" w:rsidRDefault="00F00500" w:rsidP="00C45162">
            <w:pPr>
              <w:spacing w:after="0"/>
              <w:contextualSpacing/>
              <w:rPr>
                <w:color w:val="000000" w:themeColor="text1"/>
                <w:szCs w:val="22"/>
                <w:lang w:val="en-GB" w:eastAsia="ja-JP"/>
              </w:rPr>
            </w:pPr>
            <w:r w:rsidRPr="00917609">
              <w:rPr>
                <w:color w:val="000000" w:themeColor="text1"/>
                <w:szCs w:val="22"/>
                <w:lang w:val="en-GB" w:eastAsia="ja-JP"/>
              </w:rPr>
              <w:t>Numerology</w:t>
            </w:r>
          </w:p>
        </w:tc>
        <w:tc>
          <w:tcPr>
            <w:tcW w:w="2778" w:type="dxa"/>
            <w:shd w:val="clear" w:color="auto" w:fill="auto"/>
          </w:tcPr>
          <w:p w14:paraId="0232FFC0" w14:textId="77777777" w:rsidR="00F00500" w:rsidRPr="00917609" w:rsidRDefault="00F00500" w:rsidP="00C45162">
            <w:pPr>
              <w:spacing w:after="0"/>
              <w:ind w:leftChars="54" w:left="119"/>
              <w:contextualSpacing/>
              <w:rPr>
                <w:color w:val="000000" w:themeColor="text1"/>
                <w:szCs w:val="22"/>
                <w:lang w:val="en-GB" w:eastAsia="ja-JP"/>
              </w:rPr>
            </w:pPr>
            <w:r w:rsidRPr="00917609">
              <w:rPr>
                <w:color w:val="000000" w:themeColor="text1"/>
                <w:szCs w:val="22"/>
                <w:lang w:val="en-GB" w:eastAsia="ja-JP"/>
              </w:rPr>
              <w:t xml:space="preserve">Slot/non-slot </w:t>
            </w:r>
          </w:p>
        </w:tc>
        <w:tc>
          <w:tcPr>
            <w:tcW w:w="5377" w:type="dxa"/>
            <w:shd w:val="clear" w:color="auto" w:fill="auto"/>
            <w:tcMar>
              <w:top w:w="72" w:type="dxa"/>
              <w:left w:w="144" w:type="dxa"/>
              <w:bottom w:w="72" w:type="dxa"/>
              <w:right w:w="144" w:type="dxa"/>
            </w:tcMar>
            <w:hideMark/>
          </w:tcPr>
          <w:p w14:paraId="798A2C08" w14:textId="77777777" w:rsidR="00F00500" w:rsidRPr="00917609" w:rsidRDefault="00F00500" w:rsidP="00C45162">
            <w:pPr>
              <w:spacing w:after="0"/>
              <w:contextualSpacing/>
              <w:jc w:val="both"/>
              <w:rPr>
                <w:color w:val="000000" w:themeColor="text1"/>
                <w:szCs w:val="22"/>
                <w:lang w:val="en-GB" w:eastAsia="ja-JP"/>
              </w:rPr>
            </w:pPr>
            <w:r w:rsidRPr="00917609">
              <w:rPr>
                <w:color w:val="000000" w:themeColor="text1"/>
                <w:szCs w:val="22"/>
                <w:lang w:val="en-GB" w:eastAsia="ja-JP"/>
              </w:rPr>
              <w:t>14 OFDM symbol slot</w:t>
            </w:r>
          </w:p>
        </w:tc>
      </w:tr>
      <w:tr w:rsidR="00F00500" w:rsidRPr="000A5B6A" w14:paraId="592C0235" w14:textId="77777777" w:rsidTr="00C45162">
        <w:trPr>
          <w:trHeight w:val="158"/>
        </w:trPr>
        <w:tc>
          <w:tcPr>
            <w:tcW w:w="1475" w:type="dxa"/>
            <w:vMerge/>
            <w:tcMar>
              <w:top w:w="72" w:type="dxa"/>
              <w:left w:w="144" w:type="dxa"/>
              <w:bottom w:w="72" w:type="dxa"/>
              <w:right w:w="144" w:type="dxa"/>
            </w:tcMar>
            <w:hideMark/>
          </w:tcPr>
          <w:p w14:paraId="4F6AE658" w14:textId="77777777" w:rsidR="00F00500" w:rsidRPr="00917609" w:rsidRDefault="00F00500" w:rsidP="00C45162">
            <w:pPr>
              <w:spacing w:after="0"/>
              <w:contextualSpacing/>
              <w:rPr>
                <w:color w:val="000000" w:themeColor="text1"/>
                <w:szCs w:val="22"/>
                <w:lang w:val="en-GB" w:eastAsia="ja-JP"/>
              </w:rPr>
            </w:pPr>
          </w:p>
        </w:tc>
        <w:tc>
          <w:tcPr>
            <w:tcW w:w="2778" w:type="dxa"/>
            <w:shd w:val="clear" w:color="auto" w:fill="auto"/>
          </w:tcPr>
          <w:p w14:paraId="5313ABD0" w14:textId="77777777" w:rsidR="00F00500" w:rsidRPr="00917609" w:rsidRDefault="00F00500" w:rsidP="00C45162">
            <w:pPr>
              <w:spacing w:after="0"/>
              <w:ind w:leftChars="54" w:left="119"/>
              <w:contextualSpacing/>
              <w:rPr>
                <w:color w:val="000000" w:themeColor="text1"/>
                <w:szCs w:val="22"/>
                <w:lang w:val="en-GB" w:eastAsia="ja-JP"/>
              </w:rPr>
            </w:pPr>
            <w:r w:rsidRPr="00917609">
              <w:rPr>
                <w:color w:val="000000" w:themeColor="text1"/>
                <w:szCs w:val="22"/>
                <w:lang w:val="en-GB" w:eastAsia="ja-JP"/>
              </w:rPr>
              <w:t xml:space="preserve">SCS </w:t>
            </w:r>
          </w:p>
        </w:tc>
        <w:tc>
          <w:tcPr>
            <w:tcW w:w="5377" w:type="dxa"/>
            <w:shd w:val="clear" w:color="auto" w:fill="auto"/>
            <w:tcMar>
              <w:top w:w="72" w:type="dxa"/>
              <w:left w:w="144" w:type="dxa"/>
              <w:bottom w:w="72" w:type="dxa"/>
              <w:right w:w="144" w:type="dxa"/>
            </w:tcMar>
            <w:hideMark/>
          </w:tcPr>
          <w:p w14:paraId="34B32F58" w14:textId="77777777" w:rsidR="00F00500" w:rsidRPr="00917609" w:rsidRDefault="00F00500" w:rsidP="00C45162">
            <w:pPr>
              <w:spacing w:after="0"/>
              <w:contextualSpacing/>
              <w:jc w:val="both"/>
              <w:rPr>
                <w:color w:val="000000" w:themeColor="text1"/>
                <w:szCs w:val="22"/>
                <w:lang w:val="en-GB" w:eastAsia="ja-JP"/>
              </w:rPr>
            </w:pPr>
            <w:r w:rsidRPr="00917609">
              <w:rPr>
                <w:color w:val="000000" w:themeColor="text1"/>
                <w:szCs w:val="22"/>
                <w:lang w:val="en-GB" w:eastAsia="ja-JP"/>
              </w:rPr>
              <w:t xml:space="preserve">15kHz </w:t>
            </w:r>
          </w:p>
        </w:tc>
      </w:tr>
      <w:tr w:rsidR="00F00500" w:rsidRPr="000A5B6A" w14:paraId="6A554BA9" w14:textId="77777777" w:rsidTr="00C45162">
        <w:trPr>
          <w:trHeight w:val="212"/>
        </w:trPr>
        <w:tc>
          <w:tcPr>
            <w:tcW w:w="4253" w:type="dxa"/>
            <w:gridSpan w:val="2"/>
            <w:shd w:val="clear" w:color="auto" w:fill="auto"/>
            <w:tcMar>
              <w:top w:w="72" w:type="dxa"/>
              <w:left w:w="144" w:type="dxa"/>
              <w:bottom w:w="72" w:type="dxa"/>
              <w:right w:w="144" w:type="dxa"/>
            </w:tcMar>
            <w:hideMark/>
          </w:tcPr>
          <w:p w14:paraId="085D90C9" w14:textId="77777777" w:rsidR="00F00500" w:rsidRPr="00917609" w:rsidRDefault="00F00500" w:rsidP="00C45162">
            <w:pPr>
              <w:spacing w:after="0"/>
              <w:contextualSpacing/>
              <w:rPr>
                <w:color w:val="000000" w:themeColor="text1"/>
                <w:szCs w:val="22"/>
                <w:lang w:val="en-GB" w:eastAsia="ja-JP"/>
              </w:rPr>
            </w:pPr>
            <w:r w:rsidRPr="00917609">
              <w:rPr>
                <w:color w:val="000000" w:themeColor="text1"/>
                <w:szCs w:val="22"/>
                <w:lang w:val="en-GB" w:eastAsia="ja-JP"/>
              </w:rPr>
              <w:t xml:space="preserve">Simulation bandwidth </w:t>
            </w:r>
          </w:p>
        </w:tc>
        <w:tc>
          <w:tcPr>
            <w:tcW w:w="5377" w:type="dxa"/>
            <w:shd w:val="clear" w:color="auto" w:fill="auto"/>
            <w:tcMar>
              <w:top w:w="72" w:type="dxa"/>
              <w:left w:w="144" w:type="dxa"/>
              <w:bottom w:w="72" w:type="dxa"/>
              <w:right w:w="144" w:type="dxa"/>
            </w:tcMar>
            <w:hideMark/>
          </w:tcPr>
          <w:p w14:paraId="08882738" w14:textId="77777777" w:rsidR="00F00500" w:rsidRPr="00917609" w:rsidRDefault="00F00500" w:rsidP="00C45162">
            <w:pPr>
              <w:spacing w:after="0"/>
              <w:contextualSpacing/>
              <w:jc w:val="both"/>
              <w:rPr>
                <w:color w:val="000000" w:themeColor="text1"/>
                <w:szCs w:val="22"/>
                <w:lang w:val="en-GB" w:eastAsia="ja-JP"/>
              </w:rPr>
            </w:pPr>
            <w:r w:rsidRPr="00917609">
              <w:rPr>
                <w:color w:val="000000" w:themeColor="text1"/>
                <w:szCs w:val="22"/>
                <w:lang w:val="en-GB" w:eastAsia="ja-JP"/>
              </w:rPr>
              <w:t xml:space="preserve">20 MHz </w:t>
            </w:r>
          </w:p>
        </w:tc>
      </w:tr>
      <w:tr w:rsidR="00F00500" w:rsidRPr="000A5B6A" w14:paraId="764E91A0" w14:textId="77777777" w:rsidTr="00C45162">
        <w:trPr>
          <w:trHeight w:val="312"/>
        </w:trPr>
        <w:tc>
          <w:tcPr>
            <w:tcW w:w="4253" w:type="dxa"/>
            <w:gridSpan w:val="2"/>
            <w:shd w:val="clear" w:color="auto" w:fill="auto"/>
            <w:tcMar>
              <w:top w:w="72" w:type="dxa"/>
              <w:left w:w="144" w:type="dxa"/>
              <w:bottom w:w="72" w:type="dxa"/>
              <w:right w:w="144" w:type="dxa"/>
            </w:tcMar>
            <w:hideMark/>
          </w:tcPr>
          <w:p w14:paraId="654474B3" w14:textId="77777777" w:rsidR="00F00500" w:rsidRPr="00917609" w:rsidRDefault="00F00500" w:rsidP="00C45162">
            <w:pPr>
              <w:spacing w:after="0"/>
              <w:contextualSpacing/>
              <w:rPr>
                <w:color w:val="000000" w:themeColor="text1"/>
                <w:szCs w:val="22"/>
                <w:lang w:val="en-GB" w:eastAsia="ja-JP"/>
              </w:rPr>
            </w:pPr>
            <w:r w:rsidRPr="00917609">
              <w:rPr>
                <w:color w:val="000000" w:themeColor="text1"/>
                <w:szCs w:val="22"/>
                <w:lang w:val="en-GB" w:eastAsia="ja-JP"/>
              </w:rPr>
              <w:t xml:space="preserve">Frame structure </w:t>
            </w:r>
          </w:p>
        </w:tc>
        <w:tc>
          <w:tcPr>
            <w:tcW w:w="5377" w:type="dxa"/>
            <w:shd w:val="clear" w:color="auto" w:fill="auto"/>
            <w:tcMar>
              <w:top w:w="72" w:type="dxa"/>
              <w:left w:w="144" w:type="dxa"/>
              <w:bottom w:w="72" w:type="dxa"/>
              <w:right w:w="144" w:type="dxa"/>
            </w:tcMar>
            <w:hideMark/>
          </w:tcPr>
          <w:p w14:paraId="0E3DDCDC" w14:textId="77777777" w:rsidR="00F00500" w:rsidRPr="00917609" w:rsidRDefault="00F00500" w:rsidP="00C45162">
            <w:pPr>
              <w:spacing w:after="0"/>
              <w:contextualSpacing/>
              <w:jc w:val="both"/>
              <w:rPr>
                <w:color w:val="000000" w:themeColor="text1"/>
                <w:szCs w:val="22"/>
                <w:lang w:val="en-GB" w:eastAsia="ja-JP"/>
              </w:rPr>
            </w:pPr>
            <w:r w:rsidRPr="00917609">
              <w:rPr>
                <w:color w:val="000000" w:themeColor="text1"/>
                <w:szCs w:val="22"/>
                <w:lang w:val="en-GB" w:eastAsia="ja-JP"/>
              </w:rPr>
              <w:t>Slot Format 0 (all downlink) for all slots</w:t>
            </w:r>
          </w:p>
        </w:tc>
      </w:tr>
      <w:tr w:rsidR="00F00500" w:rsidRPr="000A5B6A" w14:paraId="1F1EA0DA" w14:textId="77777777" w:rsidTr="00C45162">
        <w:trPr>
          <w:trHeight w:val="248"/>
        </w:trPr>
        <w:tc>
          <w:tcPr>
            <w:tcW w:w="4253" w:type="dxa"/>
            <w:gridSpan w:val="2"/>
            <w:shd w:val="clear" w:color="auto" w:fill="auto"/>
            <w:tcMar>
              <w:top w:w="72" w:type="dxa"/>
              <w:left w:w="144" w:type="dxa"/>
              <w:bottom w:w="72" w:type="dxa"/>
              <w:right w:w="144" w:type="dxa"/>
            </w:tcMar>
            <w:hideMark/>
          </w:tcPr>
          <w:p w14:paraId="3F359FAF" w14:textId="77777777" w:rsidR="00F00500" w:rsidRPr="00917609" w:rsidRDefault="00F00500" w:rsidP="00C45162">
            <w:pPr>
              <w:spacing w:after="0"/>
              <w:contextualSpacing/>
              <w:rPr>
                <w:color w:val="000000" w:themeColor="text1"/>
                <w:szCs w:val="22"/>
                <w:lang w:val="en-GB" w:eastAsia="ja-JP"/>
              </w:rPr>
            </w:pPr>
            <w:r w:rsidRPr="00917609">
              <w:rPr>
                <w:color w:val="000000" w:themeColor="text1"/>
                <w:szCs w:val="22"/>
                <w:lang w:val="en-GB" w:eastAsia="ja-JP"/>
              </w:rPr>
              <w:t>MIMO scheme</w:t>
            </w:r>
          </w:p>
        </w:tc>
        <w:tc>
          <w:tcPr>
            <w:tcW w:w="5377" w:type="dxa"/>
            <w:shd w:val="clear" w:color="auto" w:fill="auto"/>
            <w:tcMar>
              <w:top w:w="72" w:type="dxa"/>
              <w:left w:w="144" w:type="dxa"/>
              <w:bottom w:w="72" w:type="dxa"/>
              <w:right w:w="144" w:type="dxa"/>
            </w:tcMar>
            <w:hideMark/>
          </w:tcPr>
          <w:p w14:paraId="073BE075" w14:textId="77777777" w:rsidR="00F00500" w:rsidRPr="00917609" w:rsidRDefault="00F00500" w:rsidP="00C45162">
            <w:pPr>
              <w:spacing w:after="0"/>
              <w:contextualSpacing/>
              <w:jc w:val="both"/>
              <w:rPr>
                <w:color w:val="000000" w:themeColor="text1"/>
                <w:szCs w:val="22"/>
                <w:lang w:val="en-GB" w:eastAsia="ja-JP"/>
              </w:rPr>
            </w:pPr>
            <w:r w:rsidRPr="00917609">
              <w:rPr>
                <w:color w:val="000000" w:themeColor="text1"/>
                <w:szCs w:val="22"/>
                <w:lang w:val="en-GB" w:eastAsia="ja-JP"/>
              </w:rPr>
              <w:t>SU/MU-MIMO adaptation with up to rank</w:t>
            </w:r>
            <w:r>
              <w:rPr>
                <w:color w:val="000000" w:themeColor="text1"/>
                <w:szCs w:val="22"/>
                <w:lang w:val="en-GB" w:eastAsia="ja-JP"/>
              </w:rPr>
              <w:t xml:space="preserve"> 2</w:t>
            </w:r>
            <w:r w:rsidRPr="00917609">
              <w:rPr>
                <w:color w:val="000000" w:themeColor="text1"/>
                <w:szCs w:val="22"/>
                <w:lang w:val="en-GB" w:eastAsia="ja-JP"/>
              </w:rPr>
              <w:t xml:space="preserve"> </w:t>
            </w:r>
          </w:p>
        </w:tc>
      </w:tr>
      <w:tr w:rsidR="00F00500" w:rsidRPr="000A5B6A" w14:paraId="0CD01258" w14:textId="77777777" w:rsidTr="00C45162">
        <w:trPr>
          <w:trHeight w:val="392"/>
        </w:trPr>
        <w:tc>
          <w:tcPr>
            <w:tcW w:w="4253" w:type="dxa"/>
            <w:gridSpan w:val="2"/>
            <w:shd w:val="clear" w:color="auto" w:fill="auto"/>
            <w:vAlign w:val="center"/>
            <w:hideMark/>
          </w:tcPr>
          <w:p w14:paraId="750D9572" w14:textId="77777777" w:rsidR="00F00500" w:rsidRPr="00917609" w:rsidRDefault="00F00500" w:rsidP="00C45162">
            <w:pPr>
              <w:pStyle w:val="NormalWeb"/>
              <w:spacing w:before="0" w:beforeAutospacing="0" w:after="0" w:afterAutospacing="0"/>
              <w:ind w:leftChars="68" w:left="150"/>
              <w:contextualSpacing/>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 xml:space="preserve">CSI feedback </w:t>
            </w:r>
          </w:p>
        </w:tc>
        <w:tc>
          <w:tcPr>
            <w:tcW w:w="5377" w:type="dxa"/>
            <w:shd w:val="clear" w:color="auto" w:fill="auto"/>
            <w:tcMar>
              <w:top w:w="72" w:type="dxa"/>
              <w:left w:w="144" w:type="dxa"/>
              <w:bottom w:w="72" w:type="dxa"/>
              <w:right w:w="144" w:type="dxa"/>
            </w:tcMar>
            <w:hideMark/>
          </w:tcPr>
          <w:p w14:paraId="252B36D8" w14:textId="77777777" w:rsidR="00F00500" w:rsidRPr="00917609" w:rsidRDefault="00F00500" w:rsidP="00C45162">
            <w:pPr>
              <w:autoSpaceDE w:val="0"/>
              <w:autoSpaceDN w:val="0"/>
              <w:adjustRightInd w:val="0"/>
              <w:snapToGrid w:val="0"/>
              <w:spacing w:after="0"/>
              <w:contextualSpacing/>
              <w:jc w:val="both"/>
              <w:textAlignment w:val="baseline"/>
              <w:rPr>
                <w:color w:val="000000" w:themeColor="text1"/>
                <w:szCs w:val="22"/>
                <w:lang w:val="en-GB" w:eastAsia="ja-JP"/>
              </w:rPr>
            </w:pPr>
            <w:r w:rsidRPr="00917609">
              <w:rPr>
                <w:color w:val="000000" w:themeColor="text1"/>
                <w:szCs w:val="22"/>
                <w:lang w:val="en-GB" w:eastAsia="ja-JP"/>
              </w:rPr>
              <w:t xml:space="preserve">CSI feedback periodicity:  5 ms </w:t>
            </w:r>
          </w:p>
          <w:p w14:paraId="05E3BCD6" w14:textId="77777777" w:rsidR="00F00500" w:rsidRPr="00917609" w:rsidRDefault="00F00500" w:rsidP="00C45162">
            <w:pPr>
              <w:autoSpaceDE w:val="0"/>
              <w:autoSpaceDN w:val="0"/>
              <w:adjustRightInd w:val="0"/>
              <w:snapToGrid w:val="0"/>
              <w:spacing w:after="0"/>
              <w:contextualSpacing/>
              <w:jc w:val="both"/>
              <w:textAlignment w:val="baseline"/>
              <w:rPr>
                <w:color w:val="000000" w:themeColor="text1"/>
                <w:szCs w:val="22"/>
                <w:lang w:val="en-GB" w:eastAsia="ja-JP"/>
              </w:rPr>
            </w:pPr>
            <w:r w:rsidRPr="00917609">
              <w:rPr>
                <w:color w:val="000000" w:themeColor="text1"/>
                <w:szCs w:val="22"/>
                <w:lang w:val="en-GB" w:eastAsia="ja-JP"/>
              </w:rPr>
              <w:t>Scheduling delay: 4 ms</w:t>
            </w:r>
          </w:p>
        </w:tc>
      </w:tr>
      <w:tr w:rsidR="00F00500" w:rsidRPr="000A5B6A" w14:paraId="265204BD" w14:textId="77777777" w:rsidTr="00C45162">
        <w:trPr>
          <w:trHeight w:val="176"/>
        </w:trPr>
        <w:tc>
          <w:tcPr>
            <w:tcW w:w="4253" w:type="dxa"/>
            <w:gridSpan w:val="2"/>
            <w:shd w:val="clear" w:color="auto" w:fill="auto"/>
          </w:tcPr>
          <w:p w14:paraId="255C8114" w14:textId="77777777" w:rsidR="00F00500" w:rsidRPr="00917609" w:rsidRDefault="00F00500" w:rsidP="00C45162">
            <w:pPr>
              <w:pStyle w:val="NormalWeb"/>
              <w:spacing w:before="0" w:beforeAutospacing="0" w:after="0" w:afterAutospacing="0"/>
              <w:ind w:leftChars="68" w:left="150"/>
              <w:contextualSpacing/>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Traffic model</w:t>
            </w:r>
          </w:p>
        </w:tc>
        <w:tc>
          <w:tcPr>
            <w:tcW w:w="5377" w:type="dxa"/>
            <w:shd w:val="clear" w:color="auto" w:fill="auto"/>
            <w:tcMar>
              <w:top w:w="72" w:type="dxa"/>
              <w:left w:w="144" w:type="dxa"/>
              <w:bottom w:w="72" w:type="dxa"/>
              <w:right w:w="144" w:type="dxa"/>
            </w:tcMar>
          </w:tcPr>
          <w:p w14:paraId="68D09E33" w14:textId="77777777" w:rsidR="00F00500" w:rsidRPr="00917609" w:rsidRDefault="00F00500" w:rsidP="00C45162">
            <w:pPr>
              <w:pStyle w:val="NormalWeb"/>
              <w:spacing w:before="0" w:beforeAutospacing="0" w:after="0" w:afterAutospacing="0"/>
              <w:contextualSpacing/>
              <w:jc w:val="both"/>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FTP model 1 with packet size 0.5 Mbytes</w:t>
            </w:r>
          </w:p>
        </w:tc>
      </w:tr>
      <w:tr w:rsidR="00F00500" w:rsidRPr="000A5B6A" w14:paraId="163D00D9" w14:textId="77777777" w:rsidTr="00C45162">
        <w:trPr>
          <w:trHeight w:val="403"/>
        </w:trPr>
        <w:tc>
          <w:tcPr>
            <w:tcW w:w="4253" w:type="dxa"/>
            <w:gridSpan w:val="2"/>
            <w:shd w:val="clear" w:color="auto" w:fill="auto"/>
          </w:tcPr>
          <w:p w14:paraId="338C83F4" w14:textId="77777777" w:rsidR="00F00500" w:rsidRPr="00917609" w:rsidRDefault="00F00500" w:rsidP="00C45162">
            <w:pPr>
              <w:pStyle w:val="NormalWeb"/>
              <w:spacing w:before="0" w:beforeAutospacing="0" w:after="0" w:afterAutospacing="0"/>
              <w:ind w:leftChars="68" w:left="150"/>
              <w:contextualSpacing/>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Traffic load (Resource utilization)</w:t>
            </w:r>
          </w:p>
        </w:tc>
        <w:tc>
          <w:tcPr>
            <w:tcW w:w="5377" w:type="dxa"/>
            <w:shd w:val="clear" w:color="auto" w:fill="auto"/>
            <w:tcMar>
              <w:top w:w="72" w:type="dxa"/>
              <w:left w:w="144" w:type="dxa"/>
              <w:bottom w:w="72" w:type="dxa"/>
              <w:right w:w="144" w:type="dxa"/>
            </w:tcMar>
          </w:tcPr>
          <w:p w14:paraId="30AEF172" w14:textId="77777777" w:rsidR="00F00500" w:rsidRDefault="00F00500" w:rsidP="00C45162">
            <w:pPr>
              <w:pStyle w:val="NormalWeb"/>
              <w:spacing w:before="0" w:beforeAutospacing="0" w:after="0" w:afterAutospacing="0"/>
              <w:contextualSpacing/>
              <w:jc w:val="both"/>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 xml:space="preserve">70% </w:t>
            </w:r>
            <w:r>
              <w:rPr>
                <w:rFonts w:eastAsiaTheme="minorEastAsia"/>
                <w:color w:val="000000" w:themeColor="text1"/>
                <w:sz w:val="22"/>
                <w:szCs w:val="22"/>
                <w:lang w:val="en-GB" w:eastAsia="ja-JP"/>
              </w:rPr>
              <w:t>for MU-MIMO</w:t>
            </w:r>
          </w:p>
          <w:p w14:paraId="42717908" w14:textId="77777777" w:rsidR="00F00500" w:rsidRPr="00917609" w:rsidRDefault="00F00500" w:rsidP="00C45162">
            <w:pPr>
              <w:pStyle w:val="NormalWeb"/>
              <w:spacing w:before="0" w:beforeAutospacing="0" w:after="0" w:afterAutospacing="0"/>
              <w:contextualSpacing/>
              <w:jc w:val="both"/>
              <w:rPr>
                <w:rFonts w:eastAsiaTheme="minorEastAsia"/>
                <w:color w:val="000000" w:themeColor="text1"/>
                <w:sz w:val="22"/>
                <w:szCs w:val="22"/>
                <w:lang w:val="en-GB" w:eastAsia="ja-JP"/>
              </w:rPr>
            </w:pPr>
            <w:r>
              <w:rPr>
                <w:rFonts w:eastAsiaTheme="minorEastAsia"/>
                <w:color w:val="000000" w:themeColor="text1"/>
                <w:sz w:val="22"/>
                <w:szCs w:val="22"/>
                <w:lang w:val="en-GB" w:eastAsia="ja-JP"/>
              </w:rPr>
              <w:t>20 % for SU-MIMO</w:t>
            </w:r>
          </w:p>
        </w:tc>
      </w:tr>
      <w:tr w:rsidR="00F00500" w:rsidRPr="000A5B6A" w14:paraId="2B94B9E6" w14:textId="77777777" w:rsidTr="00C45162">
        <w:trPr>
          <w:trHeight w:val="54"/>
        </w:trPr>
        <w:tc>
          <w:tcPr>
            <w:tcW w:w="4253" w:type="dxa"/>
            <w:gridSpan w:val="2"/>
            <w:shd w:val="clear" w:color="auto" w:fill="auto"/>
          </w:tcPr>
          <w:p w14:paraId="3D564F9C" w14:textId="77777777" w:rsidR="00F00500" w:rsidRPr="00917609" w:rsidRDefault="00F00500" w:rsidP="00C45162">
            <w:pPr>
              <w:pStyle w:val="NormalWeb"/>
              <w:spacing w:before="0" w:beforeAutospacing="0" w:after="0" w:afterAutospacing="0"/>
              <w:ind w:leftChars="68" w:left="150"/>
              <w:contextualSpacing/>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UE distribution</w:t>
            </w:r>
          </w:p>
        </w:tc>
        <w:tc>
          <w:tcPr>
            <w:tcW w:w="5377" w:type="dxa"/>
            <w:shd w:val="clear" w:color="auto" w:fill="auto"/>
            <w:tcMar>
              <w:top w:w="72" w:type="dxa"/>
              <w:left w:w="144" w:type="dxa"/>
              <w:bottom w:w="72" w:type="dxa"/>
              <w:right w:w="144" w:type="dxa"/>
            </w:tcMar>
          </w:tcPr>
          <w:p w14:paraId="3338F827" w14:textId="77777777" w:rsidR="00F00500" w:rsidRPr="00917609" w:rsidRDefault="00F00500" w:rsidP="00C45162">
            <w:pPr>
              <w:pStyle w:val="NormalWeb"/>
              <w:spacing w:before="0" w:beforeAutospacing="0" w:after="0" w:afterAutospacing="0"/>
              <w:contextualSpacing/>
              <w:jc w:val="both"/>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 xml:space="preserve">80% indoor (3km/h), 20% outdoor (30km/h) </w:t>
            </w:r>
          </w:p>
        </w:tc>
      </w:tr>
      <w:tr w:rsidR="00F00500" w:rsidRPr="000A5B6A" w14:paraId="4075620B" w14:textId="77777777" w:rsidTr="00C45162">
        <w:trPr>
          <w:trHeight w:val="194"/>
        </w:trPr>
        <w:tc>
          <w:tcPr>
            <w:tcW w:w="4253" w:type="dxa"/>
            <w:gridSpan w:val="2"/>
            <w:shd w:val="clear" w:color="auto" w:fill="auto"/>
          </w:tcPr>
          <w:p w14:paraId="03AC7C35" w14:textId="77777777" w:rsidR="00F00500" w:rsidRPr="00917609" w:rsidRDefault="00F00500" w:rsidP="00C45162">
            <w:pPr>
              <w:pStyle w:val="NormalWeb"/>
              <w:spacing w:before="0" w:beforeAutospacing="0" w:after="0" w:afterAutospacing="0"/>
              <w:ind w:leftChars="68" w:left="150"/>
              <w:contextualSpacing/>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UE receiver</w:t>
            </w:r>
          </w:p>
        </w:tc>
        <w:tc>
          <w:tcPr>
            <w:tcW w:w="5377" w:type="dxa"/>
            <w:shd w:val="clear" w:color="auto" w:fill="auto"/>
            <w:tcMar>
              <w:top w:w="72" w:type="dxa"/>
              <w:left w:w="144" w:type="dxa"/>
              <w:bottom w:w="72" w:type="dxa"/>
              <w:right w:w="144" w:type="dxa"/>
            </w:tcMar>
          </w:tcPr>
          <w:p w14:paraId="0B25B3F5" w14:textId="77777777" w:rsidR="00F00500" w:rsidRPr="00917609" w:rsidRDefault="00F00500" w:rsidP="00C45162">
            <w:pPr>
              <w:pStyle w:val="NormalWeb"/>
              <w:spacing w:before="0" w:beforeAutospacing="0" w:after="0" w:afterAutospacing="0"/>
              <w:contextualSpacing/>
              <w:jc w:val="both"/>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 xml:space="preserve">MMSE-IRC </w:t>
            </w:r>
          </w:p>
        </w:tc>
      </w:tr>
      <w:tr w:rsidR="00F00500" w:rsidRPr="000A5B6A" w14:paraId="7E19014E" w14:textId="77777777" w:rsidTr="00C45162">
        <w:trPr>
          <w:trHeight w:val="140"/>
        </w:trPr>
        <w:tc>
          <w:tcPr>
            <w:tcW w:w="4253" w:type="dxa"/>
            <w:gridSpan w:val="2"/>
            <w:shd w:val="clear" w:color="auto" w:fill="auto"/>
          </w:tcPr>
          <w:p w14:paraId="723F27FE" w14:textId="77777777" w:rsidR="00F00500" w:rsidRPr="00917609" w:rsidDel="00782F1D" w:rsidRDefault="00F00500" w:rsidP="00C45162">
            <w:pPr>
              <w:pStyle w:val="NormalWeb"/>
              <w:spacing w:before="0" w:beforeAutospacing="0" w:after="0" w:afterAutospacing="0"/>
              <w:ind w:leftChars="68" w:left="150"/>
              <w:contextualSpacing/>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Baseline for performance evaluation</w:t>
            </w:r>
          </w:p>
        </w:tc>
        <w:tc>
          <w:tcPr>
            <w:tcW w:w="5377" w:type="dxa"/>
            <w:shd w:val="clear" w:color="auto" w:fill="auto"/>
            <w:tcMar>
              <w:top w:w="72" w:type="dxa"/>
              <w:left w:w="144" w:type="dxa"/>
              <w:bottom w:w="72" w:type="dxa"/>
              <w:right w:w="144" w:type="dxa"/>
            </w:tcMar>
          </w:tcPr>
          <w:p w14:paraId="7BEE3FF8" w14:textId="77777777" w:rsidR="00F00500" w:rsidRPr="00917609" w:rsidRDefault="00F00500" w:rsidP="00C45162">
            <w:pPr>
              <w:spacing w:after="0"/>
              <w:jc w:val="both"/>
              <w:rPr>
                <w:color w:val="000000" w:themeColor="text1"/>
                <w:szCs w:val="22"/>
                <w:lang w:val="en-GB" w:eastAsia="ja-JP"/>
              </w:rPr>
            </w:pPr>
            <w:r>
              <w:rPr>
                <w:color w:val="000000" w:themeColor="text1"/>
                <w:szCs w:val="22"/>
                <w:lang w:val="en-GB" w:eastAsia="ja-JP"/>
              </w:rPr>
              <w:t xml:space="preserve">Single TRP </w:t>
            </w:r>
            <w:r w:rsidRPr="00917609">
              <w:rPr>
                <w:color w:val="000000" w:themeColor="text1"/>
                <w:szCs w:val="22"/>
                <w:lang w:val="en-GB" w:eastAsia="ja-JP"/>
              </w:rPr>
              <w:t xml:space="preserve">Rel-16 eTypeII </w:t>
            </w:r>
          </w:p>
        </w:tc>
      </w:tr>
    </w:tbl>
    <w:p w14:paraId="105CD2AA" w14:textId="77777777" w:rsidR="00F00500" w:rsidRDefault="00F00500" w:rsidP="00447B7C">
      <w:pPr>
        <w:spacing w:before="100" w:beforeAutospacing="1" w:after="100" w:afterAutospacing="1"/>
        <w:jc w:val="center"/>
        <w:rPr>
          <w:color w:val="000000" w:themeColor="text1"/>
        </w:rPr>
      </w:pPr>
    </w:p>
    <w:sectPr w:rsidR="00F0050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3849DD" w14:textId="77777777" w:rsidR="000A6AE6" w:rsidRDefault="000A6AE6">
      <w:r>
        <w:separator/>
      </w:r>
    </w:p>
  </w:endnote>
  <w:endnote w:type="continuationSeparator" w:id="0">
    <w:p w14:paraId="28380B79" w14:textId="77777777" w:rsidR="000A6AE6" w:rsidRDefault="000A6AE6">
      <w:r>
        <w:continuationSeparator/>
      </w:r>
    </w:p>
  </w:endnote>
  <w:endnote w:type="continuationNotice" w:id="1">
    <w:p w14:paraId="33B2251E" w14:textId="77777777" w:rsidR="000A6AE6" w:rsidRDefault="000A6A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n-cs">
    <w:altName w:val="Cambria"/>
    <w:panose1 w:val="00000000000000000000"/>
    <w:charset w:val="00"/>
    <w:family w:val="roman"/>
    <w:notTrueType/>
    <w:pitch w:val="default"/>
  </w:font>
  <w:font w:name="+mn-ea">
    <w:altName w:val="Cambria"/>
    <w:panose1 w:val="00000000000000000000"/>
    <w:charset w:val="00"/>
    <w:family w:val="roman"/>
    <w:notTrueType/>
    <w:pitch w:val="default"/>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D880CA" w14:textId="77777777" w:rsidR="000A6AE6" w:rsidRDefault="000A6AE6">
      <w:r>
        <w:separator/>
      </w:r>
    </w:p>
  </w:footnote>
  <w:footnote w:type="continuationSeparator" w:id="0">
    <w:p w14:paraId="4762CD88" w14:textId="77777777" w:rsidR="000A6AE6" w:rsidRDefault="000A6AE6">
      <w:r>
        <w:continuationSeparator/>
      </w:r>
    </w:p>
  </w:footnote>
  <w:footnote w:type="continuationNotice" w:id="1">
    <w:p w14:paraId="56C81BB2" w14:textId="77777777" w:rsidR="000A6AE6" w:rsidRDefault="000A6AE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3956"/>
    <w:multiLevelType w:val="hybridMultilevel"/>
    <w:tmpl w:val="A2C60DF0"/>
    <w:lvl w:ilvl="0" w:tplc="32CABD08">
      <w:start w:val="1"/>
      <w:numFmt w:val="bullet"/>
      <w:lvlText w:val=""/>
      <w:lvlJc w:val="left"/>
      <w:pPr>
        <w:tabs>
          <w:tab w:val="num" w:pos="720"/>
        </w:tabs>
        <w:ind w:left="720" w:hanging="360"/>
      </w:pPr>
      <w:rPr>
        <w:rFonts w:ascii="Symbol" w:hAnsi="Symbol" w:hint="default"/>
      </w:rPr>
    </w:lvl>
    <w:lvl w:ilvl="1" w:tplc="85FEFF3A" w:tentative="1">
      <w:start w:val="1"/>
      <w:numFmt w:val="bullet"/>
      <w:lvlText w:val=""/>
      <w:lvlJc w:val="left"/>
      <w:pPr>
        <w:tabs>
          <w:tab w:val="num" w:pos="1440"/>
        </w:tabs>
        <w:ind w:left="1440" w:hanging="360"/>
      </w:pPr>
      <w:rPr>
        <w:rFonts w:ascii="Symbol" w:hAnsi="Symbol" w:hint="default"/>
      </w:rPr>
    </w:lvl>
    <w:lvl w:ilvl="2" w:tplc="EBFEF296" w:tentative="1">
      <w:start w:val="1"/>
      <w:numFmt w:val="bullet"/>
      <w:lvlText w:val=""/>
      <w:lvlJc w:val="left"/>
      <w:pPr>
        <w:tabs>
          <w:tab w:val="num" w:pos="2160"/>
        </w:tabs>
        <w:ind w:left="2160" w:hanging="360"/>
      </w:pPr>
      <w:rPr>
        <w:rFonts w:ascii="Symbol" w:hAnsi="Symbol" w:hint="default"/>
      </w:rPr>
    </w:lvl>
    <w:lvl w:ilvl="3" w:tplc="128AB384" w:tentative="1">
      <w:start w:val="1"/>
      <w:numFmt w:val="bullet"/>
      <w:lvlText w:val=""/>
      <w:lvlJc w:val="left"/>
      <w:pPr>
        <w:tabs>
          <w:tab w:val="num" w:pos="2880"/>
        </w:tabs>
        <w:ind w:left="2880" w:hanging="360"/>
      </w:pPr>
      <w:rPr>
        <w:rFonts w:ascii="Symbol" w:hAnsi="Symbol" w:hint="default"/>
      </w:rPr>
    </w:lvl>
    <w:lvl w:ilvl="4" w:tplc="6C80F988" w:tentative="1">
      <w:start w:val="1"/>
      <w:numFmt w:val="bullet"/>
      <w:lvlText w:val=""/>
      <w:lvlJc w:val="left"/>
      <w:pPr>
        <w:tabs>
          <w:tab w:val="num" w:pos="3600"/>
        </w:tabs>
        <w:ind w:left="3600" w:hanging="360"/>
      </w:pPr>
      <w:rPr>
        <w:rFonts w:ascii="Symbol" w:hAnsi="Symbol" w:hint="default"/>
      </w:rPr>
    </w:lvl>
    <w:lvl w:ilvl="5" w:tplc="72CA3698" w:tentative="1">
      <w:start w:val="1"/>
      <w:numFmt w:val="bullet"/>
      <w:lvlText w:val=""/>
      <w:lvlJc w:val="left"/>
      <w:pPr>
        <w:tabs>
          <w:tab w:val="num" w:pos="4320"/>
        </w:tabs>
        <w:ind w:left="4320" w:hanging="360"/>
      </w:pPr>
      <w:rPr>
        <w:rFonts w:ascii="Symbol" w:hAnsi="Symbol" w:hint="default"/>
      </w:rPr>
    </w:lvl>
    <w:lvl w:ilvl="6" w:tplc="BC8003B0" w:tentative="1">
      <w:start w:val="1"/>
      <w:numFmt w:val="bullet"/>
      <w:lvlText w:val=""/>
      <w:lvlJc w:val="left"/>
      <w:pPr>
        <w:tabs>
          <w:tab w:val="num" w:pos="5040"/>
        </w:tabs>
        <w:ind w:left="5040" w:hanging="360"/>
      </w:pPr>
      <w:rPr>
        <w:rFonts w:ascii="Symbol" w:hAnsi="Symbol" w:hint="default"/>
      </w:rPr>
    </w:lvl>
    <w:lvl w:ilvl="7" w:tplc="D8827046" w:tentative="1">
      <w:start w:val="1"/>
      <w:numFmt w:val="bullet"/>
      <w:lvlText w:val=""/>
      <w:lvlJc w:val="left"/>
      <w:pPr>
        <w:tabs>
          <w:tab w:val="num" w:pos="5760"/>
        </w:tabs>
        <w:ind w:left="5760" w:hanging="360"/>
      </w:pPr>
      <w:rPr>
        <w:rFonts w:ascii="Symbol" w:hAnsi="Symbol" w:hint="default"/>
      </w:rPr>
    </w:lvl>
    <w:lvl w:ilvl="8" w:tplc="865AB978"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5E57C1"/>
    <w:multiLevelType w:val="hybridMultilevel"/>
    <w:tmpl w:val="91E44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5A6A2A"/>
    <w:multiLevelType w:val="hybridMultilevel"/>
    <w:tmpl w:val="4F06E8FC"/>
    <w:lvl w:ilvl="0" w:tplc="AF608B7A">
      <w:start w:val="1"/>
      <w:numFmt w:val="bullet"/>
      <w:lvlText w:val=""/>
      <w:lvlJc w:val="left"/>
      <w:pPr>
        <w:tabs>
          <w:tab w:val="num" w:pos="720"/>
        </w:tabs>
        <w:ind w:left="720" w:hanging="360"/>
      </w:pPr>
      <w:rPr>
        <w:rFonts w:ascii="Symbol" w:hAnsi="Symbol" w:hint="default"/>
      </w:rPr>
    </w:lvl>
    <w:lvl w:ilvl="1" w:tplc="2C447564">
      <w:start w:val="17346"/>
      <w:numFmt w:val="bullet"/>
      <w:lvlText w:val="o"/>
      <w:lvlJc w:val="left"/>
      <w:pPr>
        <w:tabs>
          <w:tab w:val="num" w:pos="1440"/>
        </w:tabs>
        <w:ind w:left="1440" w:hanging="360"/>
      </w:pPr>
      <w:rPr>
        <w:rFonts w:ascii="Courier New" w:hAnsi="Courier New" w:hint="default"/>
      </w:rPr>
    </w:lvl>
    <w:lvl w:ilvl="2" w:tplc="0048391E" w:tentative="1">
      <w:start w:val="1"/>
      <w:numFmt w:val="bullet"/>
      <w:lvlText w:val=""/>
      <w:lvlJc w:val="left"/>
      <w:pPr>
        <w:tabs>
          <w:tab w:val="num" w:pos="2160"/>
        </w:tabs>
        <w:ind w:left="2160" w:hanging="360"/>
      </w:pPr>
      <w:rPr>
        <w:rFonts w:ascii="Symbol" w:hAnsi="Symbol" w:hint="default"/>
      </w:rPr>
    </w:lvl>
    <w:lvl w:ilvl="3" w:tplc="844CD8AE" w:tentative="1">
      <w:start w:val="1"/>
      <w:numFmt w:val="bullet"/>
      <w:lvlText w:val=""/>
      <w:lvlJc w:val="left"/>
      <w:pPr>
        <w:tabs>
          <w:tab w:val="num" w:pos="2880"/>
        </w:tabs>
        <w:ind w:left="2880" w:hanging="360"/>
      </w:pPr>
      <w:rPr>
        <w:rFonts w:ascii="Symbol" w:hAnsi="Symbol" w:hint="default"/>
      </w:rPr>
    </w:lvl>
    <w:lvl w:ilvl="4" w:tplc="40740666" w:tentative="1">
      <w:start w:val="1"/>
      <w:numFmt w:val="bullet"/>
      <w:lvlText w:val=""/>
      <w:lvlJc w:val="left"/>
      <w:pPr>
        <w:tabs>
          <w:tab w:val="num" w:pos="3600"/>
        </w:tabs>
        <w:ind w:left="3600" w:hanging="360"/>
      </w:pPr>
      <w:rPr>
        <w:rFonts w:ascii="Symbol" w:hAnsi="Symbol" w:hint="default"/>
      </w:rPr>
    </w:lvl>
    <w:lvl w:ilvl="5" w:tplc="EE8AA402" w:tentative="1">
      <w:start w:val="1"/>
      <w:numFmt w:val="bullet"/>
      <w:lvlText w:val=""/>
      <w:lvlJc w:val="left"/>
      <w:pPr>
        <w:tabs>
          <w:tab w:val="num" w:pos="4320"/>
        </w:tabs>
        <w:ind w:left="4320" w:hanging="360"/>
      </w:pPr>
      <w:rPr>
        <w:rFonts w:ascii="Symbol" w:hAnsi="Symbol" w:hint="default"/>
      </w:rPr>
    </w:lvl>
    <w:lvl w:ilvl="6" w:tplc="4E5452FA" w:tentative="1">
      <w:start w:val="1"/>
      <w:numFmt w:val="bullet"/>
      <w:lvlText w:val=""/>
      <w:lvlJc w:val="left"/>
      <w:pPr>
        <w:tabs>
          <w:tab w:val="num" w:pos="5040"/>
        </w:tabs>
        <w:ind w:left="5040" w:hanging="360"/>
      </w:pPr>
      <w:rPr>
        <w:rFonts w:ascii="Symbol" w:hAnsi="Symbol" w:hint="default"/>
      </w:rPr>
    </w:lvl>
    <w:lvl w:ilvl="7" w:tplc="C7CA3A24" w:tentative="1">
      <w:start w:val="1"/>
      <w:numFmt w:val="bullet"/>
      <w:lvlText w:val=""/>
      <w:lvlJc w:val="left"/>
      <w:pPr>
        <w:tabs>
          <w:tab w:val="num" w:pos="5760"/>
        </w:tabs>
        <w:ind w:left="5760" w:hanging="360"/>
      </w:pPr>
      <w:rPr>
        <w:rFonts w:ascii="Symbol" w:hAnsi="Symbol" w:hint="default"/>
      </w:rPr>
    </w:lvl>
    <w:lvl w:ilvl="8" w:tplc="F8A0C742"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2C54AF0"/>
    <w:multiLevelType w:val="hybridMultilevel"/>
    <w:tmpl w:val="38DA7FD6"/>
    <w:lvl w:ilvl="0" w:tplc="99BA0E20">
      <w:start w:val="1"/>
      <w:numFmt w:val="bullet"/>
      <w:lvlText w:val="•"/>
      <w:lvlJc w:val="left"/>
      <w:pPr>
        <w:tabs>
          <w:tab w:val="num" w:pos="720"/>
        </w:tabs>
        <w:ind w:left="720" w:hanging="360"/>
      </w:pPr>
      <w:rPr>
        <w:rFonts w:ascii="Arial" w:hAnsi="Arial" w:hint="default"/>
      </w:rPr>
    </w:lvl>
    <w:lvl w:ilvl="1" w:tplc="687AAFF8">
      <w:start w:val="17346"/>
      <w:numFmt w:val="bullet"/>
      <w:lvlText w:val="o"/>
      <w:lvlJc w:val="left"/>
      <w:pPr>
        <w:tabs>
          <w:tab w:val="num" w:pos="1440"/>
        </w:tabs>
        <w:ind w:left="1440" w:hanging="360"/>
      </w:pPr>
      <w:rPr>
        <w:rFonts w:ascii="Courier New" w:hAnsi="Courier New" w:hint="default"/>
      </w:rPr>
    </w:lvl>
    <w:lvl w:ilvl="2" w:tplc="646AC276" w:tentative="1">
      <w:start w:val="1"/>
      <w:numFmt w:val="bullet"/>
      <w:lvlText w:val="•"/>
      <w:lvlJc w:val="left"/>
      <w:pPr>
        <w:tabs>
          <w:tab w:val="num" w:pos="2160"/>
        </w:tabs>
        <w:ind w:left="2160" w:hanging="360"/>
      </w:pPr>
      <w:rPr>
        <w:rFonts w:ascii="Arial" w:hAnsi="Arial" w:hint="default"/>
      </w:rPr>
    </w:lvl>
    <w:lvl w:ilvl="3" w:tplc="CCDA57B2" w:tentative="1">
      <w:start w:val="1"/>
      <w:numFmt w:val="bullet"/>
      <w:lvlText w:val="•"/>
      <w:lvlJc w:val="left"/>
      <w:pPr>
        <w:tabs>
          <w:tab w:val="num" w:pos="2880"/>
        </w:tabs>
        <w:ind w:left="2880" w:hanging="360"/>
      </w:pPr>
      <w:rPr>
        <w:rFonts w:ascii="Arial" w:hAnsi="Arial" w:hint="default"/>
      </w:rPr>
    </w:lvl>
    <w:lvl w:ilvl="4" w:tplc="D0A00D7C" w:tentative="1">
      <w:start w:val="1"/>
      <w:numFmt w:val="bullet"/>
      <w:lvlText w:val="•"/>
      <w:lvlJc w:val="left"/>
      <w:pPr>
        <w:tabs>
          <w:tab w:val="num" w:pos="3600"/>
        </w:tabs>
        <w:ind w:left="3600" w:hanging="360"/>
      </w:pPr>
      <w:rPr>
        <w:rFonts w:ascii="Arial" w:hAnsi="Arial" w:hint="default"/>
      </w:rPr>
    </w:lvl>
    <w:lvl w:ilvl="5" w:tplc="9E802300" w:tentative="1">
      <w:start w:val="1"/>
      <w:numFmt w:val="bullet"/>
      <w:lvlText w:val="•"/>
      <w:lvlJc w:val="left"/>
      <w:pPr>
        <w:tabs>
          <w:tab w:val="num" w:pos="4320"/>
        </w:tabs>
        <w:ind w:left="4320" w:hanging="360"/>
      </w:pPr>
      <w:rPr>
        <w:rFonts w:ascii="Arial" w:hAnsi="Arial" w:hint="default"/>
      </w:rPr>
    </w:lvl>
    <w:lvl w:ilvl="6" w:tplc="374A72B6" w:tentative="1">
      <w:start w:val="1"/>
      <w:numFmt w:val="bullet"/>
      <w:lvlText w:val="•"/>
      <w:lvlJc w:val="left"/>
      <w:pPr>
        <w:tabs>
          <w:tab w:val="num" w:pos="5040"/>
        </w:tabs>
        <w:ind w:left="5040" w:hanging="360"/>
      </w:pPr>
      <w:rPr>
        <w:rFonts w:ascii="Arial" w:hAnsi="Arial" w:hint="default"/>
      </w:rPr>
    </w:lvl>
    <w:lvl w:ilvl="7" w:tplc="0AACB778" w:tentative="1">
      <w:start w:val="1"/>
      <w:numFmt w:val="bullet"/>
      <w:lvlText w:val="•"/>
      <w:lvlJc w:val="left"/>
      <w:pPr>
        <w:tabs>
          <w:tab w:val="num" w:pos="5760"/>
        </w:tabs>
        <w:ind w:left="5760" w:hanging="360"/>
      </w:pPr>
      <w:rPr>
        <w:rFonts w:ascii="Arial" w:hAnsi="Arial" w:hint="default"/>
      </w:rPr>
    </w:lvl>
    <w:lvl w:ilvl="8" w:tplc="0784D7A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8"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BBB15CA"/>
    <w:multiLevelType w:val="hybridMultilevel"/>
    <w:tmpl w:val="20BE798C"/>
    <w:lvl w:ilvl="0" w:tplc="7D6885B6">
      <w:start w:val="1"/>
      <w:numFmt w:val="bullet"/>
      <w:lvlText w:val=""/>
      <w:lvlJc w:val="left"/>
      <w:pPr>
        <w:tabs>
          <w:tab w:val="num" w:pos="720"/>
        </w:tabs>
        <w:ind w:left="720" w:hanging="360"/>
      </w:pPr>
      <w:rPr>
        <w:rFonts w:ascii="Symbol" w:hAnsi="Symbol" w:hint="default"/>
      </w:rPr>
    </w:lvl>
    <w:lvl w:ilvl="1" w:tplc="00564E4E">
      <w:start w:val="15534"/>
      <w:numFmt w:val="bullet"/>
      <w:lvlText w:val="o"/>
      <w:lvlJc w:val="left"/>
      <w:pPr>
        <w:tabs>
          <w:tab w:val="num" w:pos="1440"/>
        </w:tabs>
        <w:ind w:left="1440" w:hanging="360"/>
      </w:pPr>
      <w:rPr>
        <w:rFonts w:ascii="Courier New" w:hAnsi="Courier New" w:hint="default"/>
      </w:rPr>
    </w:lvl>
    <w:lvl w:ilvl="2" w:tplc="74C068A2">
      <w:start w:val="15534"/>
      <w:numFmt w:val="bullet"/>
      <w:lvlText w:val=""/>
      <w:lvlJc w:val="left"/>
      <w:pPr>
        <w:tabs>
          <w:tab w:val="num" w:pos="2160"/>
        </w:tabs>
        <w:ind w:left="2160" w:hanging="360"/>
      </w:pPr>
      <w:rPr>
        <w:rFonts w:ascii="Wingdings" w:hAnsi="Wingdings" w:hint="default"/>
      </w:rPr>
    </w:lvl>
    <w:lvl w:ilvl="3" w:tplc="A942C0FA" w:tentative="1">
      <w:start w:val="1"/>
      <w:numFmt w:val="bullet"/>
      <w:lvlText w:val=""/>
      <w:lvlJc w:val="left"/>
      <w:pPr>
        <w:tabs>
          <w:tab w:val="num" w:pos="2880"/>
        </w:tabs>
        <w:ind w:left="2880" w:hanging="360"/>
      </w:pPr>
      <w:rPr>
        <w:rFonts w:ascii="Symbol" w:hAnsi="Symbol" w:hint="default"/>
      </w:rPr>
    </w:lvl>
    <w:lvl w:ilvl="4" w:tplc="BF804316" w:tentative="1">
      <w:start w:val="1"/>
      <w:numFmt w:val="bullet"/>
      <w:lvlText w:val=""/>
      <w:lvlJc w:val="left"/>
      <w:pPr>
        <w:tabs>
          <w:tab w:val="num" w:pos="3600"/>
        </w:tabs>
        <w:ind w:left="3600" w:hanging="360"/>
      </w:pPr>
      <w:rPr>
        <w:rFonts w:ascii="Symbol" w:hAnsi="Symbol" w:hint="default"/>
      </w:rPr>
    </w:lvl>
    <w:lvl w:ilvl="5" w:tplc="1794E53C" w:tentative="1">
      <w:start w:val="1"/>
      <w:numFmt w:val="bullet"/>
      <w:lvlText w:val=""/>
      <w:lvlJc w:val="left"/>
      <w:pPr>
        <w:tabs>
          <w:tab w:val="num" w:pos="4320"/>
        </w:tabs>
        <w:ind w:left="4320" w:hanging="360"/>
      </w:pPr>
      <w:rPr>
        <w:rFonts w:ascii="Symbol" w:hAnsi="Symbol" w:hint="default"/>
      </w:rPr>
    </w:lvl>
    <w:lvl w:ilvl="6" w:tplc="EA509E8A" w:tentative="1">
      <w:start w:val="1"/>
      <w:numFmt w:val="bullet"/>
      <w:lvlText w:val=""/>
      <w:lvlJc w:val="left"/>
      <w:pPr>
        <w:tabs>
          <w:tab w:val="num" w:pos="5040"/>
        </w:tabs>
        <w:ind w:left="5040" w:hanging="360"/>
      </w:pPr>
      <w:rPr>
        <w:rFonts w:ascii="Symbol" w:hAnsi="Symbol" w:hint="default"/>
      </w:rPr>
    </w:lvl>
    <w:lvl w:ilvl="7" w:tplc="7DAEFD90" w:tentative="1">
      <w:start w:val="1"/>
      <w:numFmt w:val="bullet"/>
      <w:lvlText w:val=""/>
      <w:lvlJc w:val="left"/>
      <w:pPr>
        <w:tabs>
          <w:tab w:val="num" w:pos="5760"/>
        </w:tabs>
        <w:ind w:left="5760" w:hanging="360"/>
      </w:pPr>
      <w:rPr>
        <w:rFonts w:ascii="Symbol" w:hAnsi="Symbol" w:hint="default"/>
      </w:rPr>
    </w:lvl>
    <w:lvl w:ilvl="8" w:tplc="25C8F64C"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C4C377E"/>
    <w:multiLevelType w:val="hybridMultilevel"/>
    <w:tmpl w:val="50DEE372"/>
    <w:lvl w:ilvl="0" w:tplc="15829710">
      <w:start w:val="1"/>
      <w:numFmt w:val="bullet"/>
      <w:lvlText w:val="o"/>
      <w:lvlJc w:val="left"/>
      <w:pPr>
        <w:tabs>
          <w:tab w:val="num" w:pos="720"/>
        </w:tabs>
        <w:ind w:left="720" w:hanging="360"/>
      </w:pPr>
      <w:rPr>
        <w:rFonts w:ascii="Courier New" w:hAnsi="Courier New" w:hint="default"/>
      </w:rPr>
    </w:lvl>
    <w:lvl w:ilvl="1" w:tplc="DC1223B2">
      <w:start w:val="1"/>
      <w:numFmt w:val="bullet"/>
      <w:lvlText w:val="o"/>
      <w:lvlJc w:val="left"/>
      <w:pPr>
        <w:tabs>
          <w:tab w:val="num" w:pos="1440"/>
        </w:tabs>
        <w:ind w:left="1440" w:hanging="360"/>
      </w:pPr>
      <w:rPr>
        <w:rFonts w:ascii="Courier New" w:hAnsi="Courier New" w:hint="default"/>
      </w:rPr>
    </w:lvl>
    <w:lvl w:ilvl="2" w:tplc="AEA229A2" w:tentative="1">
      <w:start w:val="1"/>
      <w:numFmt w:val="bullet"/>
      <w:lvlText w:val="o"/>
      <w:lvlJc w:val="left"/>
      <w:pPr>
        <w:tabs>
          <w:tab w:val="num" w:pos="2160"/>
        </w:tabs>
        <w:ind w:left="2160" w:hanging="360"/>
      </w:pPr>
      <w:rPr>
        <w:rFonts w:ascii="Courier New" w:hAnsi="Courier New" w:hint="default"/>
      </w:rPr>
    </w:lvl>
    <w:lvl w:ilvl="3" w:tplc="B33C8C8E" w:tentative="1">
      <w:start w:val="1"/>
      <w:numFmt w:val="bullet"/>
      <w:lvlText w:val="o"/>
      <w:lvlJc w:val="left"/>
      <w:pPr>
        <w:tabs>
          <w:tab w:val="num" w:pos="2880"/>
        </w:tabs>
        <w:ind w:left="2880" w:hanging="360"/>
      </w:pPr>
      <w:rPr>
        <w:rFonts w:ascii="Courier New" w:hAnsi="Courier New" w:hint="default"/>
      </w:rPr>
    </w:lvl>
    <w:lvl w:ilvl="4" w:tplc="CE56633C" w:tentative="1">
      <w:start w:val="1"/>
      <w:numFmt w:val="bullet"/>
      <w:lvlText w:val="o"/>
      <w:lvlJc w:val="left"/>
      <w:pPr>
        <w:tabs>
          <w:tab w:val="num" w:pos="3600"/>
        </w:tabs>
        <w:ind w:left="3600" w:hanging="360"/>
      </w:pPr>
      <w:rPr>
        <w:rFonts w:ascii="Courier New" w:hAnsi="Courier New" w:hint="default"/>
      </w:rPr>
    </w:lvl>
    <w:lvl w:ilvl="5" w:tplc="7174F0E4" w:tentative="1">
      <w:start w:val="1"/>
      <w:numFmt w:val="bullet"/>
      <w:lvlText w:val="o"/>
      <w:lvlJc w:val="left"/>
      <w:pPr>
        <w:tabs>
          <w:tab w:val="num" w:pos="4320"/>
        </w:tabs>
        <w:ind w:left="4320" w:hanging="360"/>
      </w:pPr>
      <w:rPr>
        <w:rFonts w:ascii="Courier New" w:hAnsi="Courier New" w:hint="default"/>
      </w:rPr>
    </w:lvl>
    <w:lvl w:ilvl="6" w:tplc="D99A8208" w:tentative="1">
      <w:start w:val="1"/>
      <w:numFmt w:val="bullet"/>
      <w:lvlText w:val="o"/>
      <w:lvlJc w:val="left"/>
      <w:pPr>
        <w:tabs>
          <w:tab w:val="num" w:pos="5040"/>
        </w:tabs>
        <w:ind w:left="5040" w:hanging="360"/>
      </w:pPr>
      <w:rPr>
        <w:rFonts w:ascii="Courier New" w:hAnsi="Courier New" w:hint="default"/>
      </w:rPr>
    </w:lvl>
    <w:lvl w:ilvl="7" w:tplc="108E76F8" w:tentative="1">
      <w:start w:val="1"/>
      <w:numFmt w:val="bullet"/>
      <w:lvlText w:val="o"/>
      <w:lvlJc w:val="left"/>
      <w:pPr>
        <w:tabs>
          <w:tab w:val="num" w:pos="5760"/>
        </w:tabs>
        <w:ind w:left="5760" w:hanging="360"/>
      </w:pPr>
      <w:rPr>
        <w:rFonts w:ascii="Courier New" w:hAnsi="Courier New" w:hint="default"/>
      </w:rPr>
    </w:lvl>
    <w:lvl w:ilvl="8" w:tplc="8D0C6604" w:tentative="1">
      <w:start w:val="1"/>
      <w:numFmt w:val="bullet"/>
      <w:lvlText w:val="o"/>
      <w:lvlJc w:val="left"/>
      <w:pPr>
        <w:tabs>
          <w:tab w:val="num" w:pos="6480"/>
        </w:tabs>
        <w:ind w:left="6480" w:hanging="360"/>
      </w:pPr>
      <w:rPr>
        <w:rFonts w:ascii="Courier New" w:hAnsi="Courier New" w:hint="default"/>
      </w:rPr>
    </w:lvl>
  </w:abstractNum>
  <w:abstractNum w:abstractNumId="11"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DB73E20"/>
    <w:multiLevelType w:val="hybridMultilevel"/>
    <w:tmpl w:val="3238E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C70CA4"/>
    <w:multiLevelType w:val="hybridMultilevel"/>
    <w:tmpl w:val="77BA8A88"/>
    <w:lvl w:ilvl="0" w:tplc="E40051E0">
      <w:start w:val="1"/>
      <w:numFmt w:val="decimal"/>
      <w:lvlText w:val="3.%1."/>
      <w:lvlJc w:val="left"/>
      <w:pPr>
        <w:ind w:left="360" w:hanging="360"/>
      </w:pPr>
      <w:rPr>
        <w:rFonts w:hint="default"/>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E8E73D4"/>
    <w:multiLevelType w:val="hybridMultilevel"/>
    <w:tmpl w:val="98CAE1C0"/>
    <w:lvl w:ilvl="0" w:tplc="328CAA0C">
      <w:start w:val="1"/>
      <w:numFmt w:val="bullet"/>
      <w:lvlText w:val=""/>
      <w:lvlJc w:val="left"/>
      <w:pPr>
        <w:tabs>
          <w:tab w:val="num" w:pos="720"/>
        </w:tabs>
        <w:ind w:left="720" w:hanging="360"/>
      </w:pPr>
      <w:rPr>
        <w:rFonts w:ascii="Symbol" w:hAnsi="Symbol" w:hint="default"/>
      </w:rPr>
    </w:lvl>
    <w:lvl w:ilvl="1" w:tplc="1B2CBCA8" w:tentative="1">
      <w:start w:val="1"/>
      <w:numFmt w:val="bullet"/>
      <w:lvlText w:val=""/>
      <w:lvlJc w:val="left"/>
      <w:pPr>
        <w:tabs>
          <w:tab w:val="num" w:pos="1440"/>
        </w:tabs>
        <w:ind w:left="1440" w:hanging="360"/>
      </w:pPr>
      <w:rPr>
        <w:rFonts w:ascii="Symbol" w:hAnsi="Symbol" w:hint="default"/>
      </w:rPr>
    </w:lvl>
    <w:lvl w:ilvl="2" w:tplc="31FAAD80" w:tentative="1">
      <w:start w:val="1"/>
      <w:numFmt w:val="bullet"/>
      <w:lvlText w:val=""/>
      <w:lvlJc w:val="left"/>
      <w:pPr>
        <w:tabs>
          <w:tab w:val="num" w:pos="2160"/>
        </w:tabs>
        <w:ind w:left="2160" w:hanging="360"/>
      </w:pPr>
      <w:rPr>
        <w:rFonts w:ascii="Symbol" w:hAnsi="Symbol" w:hint="default"/>
      </w:rPr>
    </w:lvl>
    <w:lvl w:ilvl="3" w:tplc="7F6CB736" w:tentative="1">
      <w:start w:val="1"/>
      <w:numFmt w:val="bullet"/>
      <w:lvlText w:val=""/>
      <w:lvlJc w:val="left"/>
      <w:pPr>
        <w:tabs>
          <w:tab w:val="num" w:pos="2880"/>
        </w:tabs>
        <w:ind w:left="2880" w:hanging="360"/>
      </w:pPr>
      <w:rPr>
        <w:rFonts w:ascii="Symbol" w:hAnsi="Symbol" w:hint="default"/>
      </w:rPr>
    </w:lvl>
    <w:lvl w:ilvl="4" w:tplc="22B0328E" w:tentative="1">
      <w:start w:val="1"/>
      <w:numFmt w:val="bullet"/>
      <w:lvlText w:val=""/>
      <w:lvlJc w:val="left"/>
      <w:pPr>
        <w:tabs>
          <w:tab w:val="num" w:pos="3600"/>
        </w:tabs>
        <w:ind w:left="3600" w:hanging="360"/>
      </w:pPr>
      <w:rPr>
        <w:rFonts w:ascii="Symbol" w:hAnsi="Symbol" w:hint="default"/>
      </w:rPr>
    </w:lvl>
    <w:lvl w:ilvl="5" w:tplc="C8A05E4E" w:tentative="1">
      <w:start w:val="1"/>
      <w:numFmt w:val="bullet"/>
      <w:lvlText w:val=""/>
      <w:lvlJc w:val="left"/>
      <w:pPr>
        <w:tabs>
          <w:tab w:val="num" w:pos="4320"/>
        </w:tabs>
        <w:ind w:left="4320" w:hanging="360"/>
      </w:pPr>
      <w:rPr>
        <w:rFonts w:ascii="Symbol" w:hAnsi="Symbol" w:hint="default"/>
      </w:rPr>
    </w:lvl>
    <w:lvl w:ilvl="6" w:tplc="2D1295CE" w:tentative="1">
      <w:start w:val="1"/>
      <w:numFmt w:val="bullet"/>
      <w:lvlText w:val=""/>
      <w:lvlJc w:val="left"/>
      <w:pPr>
        <w:tabs>
          <w:tab w:val="num" w:pos="5040"/>
        </w:tabs>
        <w:ind w:left="5040" w:hanging="360"/>
      </w:pPr>
      <w:rPr>
        <w:rFonts w:ascii="Symbol" w:hAnsi="Symbol" w:hint="default"/>
      </w:rPr>
    </w:lvl>
    <w:lvl w:ilvl="7" w:tplc="64E4FAA8" w:tentative="1">
      <w:start w:val="1"/>
      <w:numFmt w:val="bullet"/>
      <w:lvlText w:val=""/>
      <w:lvlJc w:val="left"/>
      <w:pPr>
        <w:tabs>
          <w:tab w:val="num" w:pos="5760"/>
        </w:tabs>
        <w:ind w:left="5760" w:hanging="360"/>
      </w:pPr>
      <w:rPr>
        <w:rFonts w:ascii="Symbol" w:hAnsi="Symbol" w:hint="default"/>
      </w:rPr>
    </w:lvl>
    <w:lvl w:ilvl="8" w:tplc="C9C29B26"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57243ED"/>
    <w:multiLevelType w:val="hybridMultilevel"/>
    <w:tmpl w:val="58320DD2"/>
    <w:lvl w:ilvl="0" w:tplc="24505CA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0C831C9"/>
    <w:multiLevelType w:val="hybridMultilevel"/>
    <w:tmpl w:val="69C88A44"/>
    <w:lvl w:ilvl="0" w:tplc="DC287E1A">
      <w:start w:val="1"/>
      <w:numFmt w:val="bullet"/>
      <w:lvlText w:val="o"/>
      <w:lvlJc w:val="left"/>
      <w:pPr>
        <w:tabs>
          <w:tab w:val="num" w:pos="720"/>
        </w:tabs>
        <w:ind w:left="720" w:hanging="360"/>
      </w:pPr>
      <w:rPr>
        <w:rFonts w:ascii="Courier New" w:hAnsi="Courier New" w:hint="default"/>
      </w:rPr>
    </w:lvl>
    <w:lvl w:ilvl="1" w:tplc="40C2E1D2">
      <w:start w:val="1"/>
      <w:numFmt w:val="bullet"/>
      <w:lvlText w:val="o"/>
      <w:lvlJc w:val="left"/>
      <w:pPr>
        <w:tabs>
          <w:tab w:val="num" w:pos="1440"/>
        </w:tabs>
        <w:ind w:left="1440" w:hanging="360"/>
      </w:pPr>
      <w:rPr>
        <w:rFonts w:ascii="Courier New" w:hAnsi="Courier New" w:hint="default"/>
      </w:rPr>
    </w:lvl>
    <w:lvl w:ilvl="2" w:tplc="B0740608">
      <w:start w:val="17346"/>
      <w:numFmt w:val="bullet"/>
      <w:lvlText w:val=""/>
      <w:lvlJc w:val="left"/>
      <w:pPr>
        <w:tabs>
          <w:tab w:val="num" w:pos="2160"/>
        </w:tabs>
        <w:ind w:left="2160" w:hanging="360"/>
      </w:pPr>
      <w:rPr>
        <w:rFonts w:ascii="Wingdings" w:hAnsi="Wingdings" w:hint="default"/>
      </w:rPr>
    </w:lvl>
    <w:lvl w:ilvl="3" w:tplc="CF603318" w:tentative="1">
      <w:start w:val="1"/>
      <w:numFmt w:val="bullet"/>
      <w:lvlText w:val="o"/>
      <w:lvlJc w:val="left"/>
      <w:pPr>
        <w:tabs>
          <w:tab w:val="num" w:pos="2880"/>
        </w:tabs>
        <w:ind w:left="2880" w:hanging="360"/>
      </w:pPr>
      <w:rPr>
        <w:rFonts w:ascii="Courier New" w:hAnsi="Courier New" w:hint="default"/>
      </w:rPr>
    </w:lvl>
    <w:lvl w:ilvl="4" w:tplc="AB1E3D3A" w:tentative="1">
      <w:start w:val="1"/>
      <w:numFmt w:val="bullet"/>
      <w:lvlText w:val="o"/>
      <w:lvlJc w:val="left"/>
      <w:pPr>
        <w:tabs>
          <w:tab w:val="num" w:pos="3600"/>
        </w:tabs>
        <w:ind w:left="3600" w:hanging="360"/>
      </w:pPr>
      <w:rPr>
        <w:rFonts w:ascii="Courier New" w:hAnsi="Courier New" w:hint="default"/>
      </w:rPr>
    </w:lvl>
    <w:lvl w:ilvl="5" w:tplc="62EED640" w:tentative="1">
      <w:start w:val="1"/>
      <w:numFmt w:val="bullet"/>
      <w:lvlText w:val="o"/>
      <w:lvlJc w:val="left"/>
      <w:pPr>
        <w:tabs>
          <w:tab w:val="num" w:pos="4320"/>
        </w:tabs>
        <w:ind w:left="4320" w:hanging="360"/>
      </w:pPr>
      <w:rPr>
        <w:rFonts w:ascii="Courier New" w:hAnsi="Courier New" w:hint="default"/>
      </w:rPr>
    </w:lvl>
    <w:lvl w:ilvl="6" w:tplc="DE585FAC" w:tentative="1">
      <w:start w:val="1"/>
      <w:numFmt w:val="bullet"/>
      <w:lvlText w:val="o"/>
      <w:lvlJc w:val="left"/>
      <w:pPr>
        <w:tabs>
          <w:tab w:val="num" w:pos="5040"/>
        </w:tabs>
        <w:ind w:left="5040" w:hanging="360"/>
      </w:pPr>
      <w:rPr>
        <w:rFonts w:ascii="Courier New" w:hAnsi="Courier New" w:hint="default"/>
      </w:rPr>
    </w:lvl>
    <w:lvl w:ilvl="7" w:tplc="DE424E94" w:tentative="1">
      <w:start w:val="1"/>
      <w:numFmt w:val="bullet"/>
      <w:lvlText w:val="o"/>
      <w:lvlJc w:val="left"/>
      <w:pPr>
        <w:tabs>
          <w:tab w:val="num" w:pos="5760"/>
        </w:tabs>
        <w:ind w:left="5760" w:hanging="360"/>
      </w:pPr>
      <w:rPr>
        <w:rFonts w:ascii="Courier New" w:hAnsi="Courier New" w:hint="default"/>
      </w:rPr>
    </w:lvl>
    <w:lvl w:ilvl="8" w:tplc="E3C0B734"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3244207C"/>
    <w:multiLevelType w:val="hybridMultilevel"/>
    <w:tmpl w:val="8C0AF1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3B9042A"/>
    <w:multiLevelType w:val="hybridMultilevel"/>
    <w:tmpl w:val="FA32FD24"/>
    <w:lvl w:ilvl="0" w:tplc="F5485D38">
      <w:start w:val="1"/>
      <w:numFmt w:val="bullet"/>
      <w:lvlText w:val=""/>
      <w:lvlJc w:val="left"/>
      <w:pPr>
        <w:tabs>
          <w:tab w:val="num" w:pos="720"/>
        </w:tabs>
        <w:ind w:left="720" w:hanging="360"/>
      </w:pPr>
      <w:rPr>
        <w:rFonts w:ascii="Symbol" w:hAnsi="Symbol" w:hint="default"/>
      </w:rPr>
    </w:lvl>
    <w:lvl w:ilvl="1" w:tplc="C7F46AD4">
      <w:start w:val="17346"/>
      <w:numFmt w:val="bullet"/>
      <w:lvlText w:val="o"/>
      <w:lvlJc w:val="left"/>
      <w:pPr>
        <w:tabs>
          <w:tab w:val="num" w:pos="1440"/>
        </w:tabs>
        <w:ind w:left="1440" w:hanging="360"/>
      </w:pPr>
      <w:rPr>
        <w:rFonts w:ascii="Courier New" w:hAnsi="Courier New" w:hint="default"/>
      </w:rPr>
    </w:lvl>
    <w:lvl w:ilvl="2" w:tplc="B134C43E" w:tentative="1">
      <w:start w:val="1"/>
      <w:numFmt w:val="bullet"/>
      <w:lvlText w:val=""/>
      <w:lvlJc w:val="left"/>
      <w:pPr>
        <w:tabs>
          <w:tab w:val="num" w:pos="2160"/>
        </w:tabs>
        <w:ind w:left="2160" w:hanging="360"/>
      </w:pPr>
      <w:rPr>
        <w:rFonts w:ascii="Symbol" w:hAnsi="Symbol" w:hint="default"/>
      </w:rPr>
    </w:lvl>
    <w:lvl w:ilvl="3" w:tplc="271499C0" w:tentative="1">
      <w:start w:val="1"/>
      <w:numFmt w:val="bullet"/>
      <w:lvlText w:val=""/>
      <w:lvlJc w:val="left"/>
      <w:pPr>
        <w:tabs>
          <w:tab w:val="num" w:pos="2880"/>
        </w:tabs>
        <w:ind w:left="2880" w:hanging="360"/>
      </w:pPr>
      <w:rPr>
        <w:rFonts w:ascii="Symbol" w:hAnsi="Symbol" w:hint="default"/>
      </w:rPr>
    </w:lvl>
    <w:lvl w:ilvl="4" w:tplc="DCD6AE0A" w:tentative="1">
      <w:start w:val="1"/>
      <w:numFmt w:val="bullet"/>
      <w:lvlText w:val=""/>
      <w:lvlJc w:val="left"/>
      <w:pPr>
        <w:tabs>
          <w:tab w:val="num" w:pos="3600"/>
        </w:tabs>
        <w:ind w:left="3600" w:hanging="360"/>
      </w:pPr>
      <w:rPr>
        <w:rFonts w:ascii="Symbol" w:hAnsi="Symbol" w:hint="default"/>
      </w:rPr>
    </w:lvl>
    <w:lvl w:ilvl="5" w:tplc="3EDCCCF6" w:tentative="1">
      <w:start w:val="1"/>
      <w:numFmt w:val="bullet"/>
      <w:lvlText w:val=""/>
      <w:lvlJc w:val="left"/>
      <w:pPr>
        <w:tabs>
          <w:tab w:val="num" w:pos="4320"/>
        </w:tabs>
        <w:ind w:left="4320" w:hanging="360"/>
      </w:pPr>
      <w:rPr>
        <w:rFonts w:ascii="Symbol" w:hAnsi="Symbol" w:hint="default"/>
      </w:rPr>
    </w:lvl>
    <w:lvl w:ilvl="6" w:tplc="9F982700" w:tentative="1">
      <w:start w:val="1"/>
      <w:numFmt w:val="bullet"/>
      <w:lvlText w:val=""/>
      <w:lvlJc w:val="left"/>
      <w:pPr>
        <w:tabs>
          <w:tab w:val="num" w:pos="5040"/>
        </w:tabs>
        <w:ind w:left="5040" w:hanging="360"/>
      </w:pPr>
      <w:rPr>
        <w:rFonts w:ascii="Symbol" w:hAnsi="Symbol" w:hint="default"/>
      </w:rPr>
    </w:lvl>
    <w:lvl w:ilvl="7" w:tplc="8CB0D1FE" w:tentative="1">
      <w:start w:val="1"/>
      <w:numFmt w:val="bullet"/>
      <w:lvlText w:val=""/>
      <w:lvlJc w:val="left"/>
      <w:pPr>
        <w:tabs>
          <w:tab w:val="num" w:pos="5760"/>
        </w:tabs>
        <w:ind w:left="5760" w:hanging="360"/>
      </w:pPr>
      <w:rPr>
        <w:rFonts w:ascii="Symbol" w:hAnsi="Symbol" w:hint="default"/>
      </w:rPr>
    </w:lvl>
    <w:lvl w:ilvl="8" w:tplc="B024EB94"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3C3754DA"/>
    <w:multiLevelType w:val="hybridMultilevel"/>
    <w:tmpl w:val="8A14A86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3F927CEF"/>
    <w:multiLevelType w:val="hybridMultilevel"/>
    <w:tmpl w:val="3B7EBB04"/>
    <w:lvl w:ilvl="0" w:tplc="2B26CA32">
      <w:start w:val="1"/>
      <w:numFmt w:val="bullet"/>
      <w:lvlText w:val="•"/>
      <w:lvlJc w:val="left"/>
      <w:pPr>
        <w:tabs>
          <w:tab w:val="num" w:pos="720"/>
        </w:tabs>
        <w:ind w:left="720" w:hanging="360"/>
      </w:pPr>
      <w:rPr>
        <w:rFonts w:ascii="Arial" w:hAnsi="Arial" w:hint="default"/>
      </w:rPr>
    </w:lvl>
    <w:lvl w:ilvl="1" w:tplc="80D61216" w:tentative="1">
      <w:start w:val="1"/>
      <w:numFmt w:val="bullet"/>
      <w:lvlText w:val="•"/>
      <w:lvlJc w:val="left"/>
      <w:pPr>
        <w:tabs>
          <w:tab w:val="num" w:pos="1440"/>
        </w:tabs>
        <w:ind w:left="1440" w:hanging="360"/>
      </w:pPr>
      <w:rPr>
        <w:rFonts w:ascii="Arial" w:hAnsi="Arial" w:hint="default"/>
      </w:rPr>
    </w:lvl>
    <w:lvl w:ilvl="2" w:tplc="5A004636" w:tentative="1">
      <w:start w:val="1"/>
      <w:numFmt w:val="bullet"/>
      <w:lvlText w:val="•"/>
      <w:lvlJc w:val="left"/>
      <w:pPr>
        <w:tabs>
          <w:tab w:val="num" w:pos="2160"/>
        </w:tabs>
        <w:ind w:left="2160" w:hanging="360"/>
      </w:pPr>
      <w:rPr>
        <w:rFonts w:ascii="Arial" w:hAnsi="Arial" w:hint="default"/>
      </w:rPr>
    </w:lvl>
    <w:lvl w:ilvl="3" w:tplc="0816A7DE" w:tentative="1">
      <w:start w:val="1"/>
      <w:numFmt w:val="bullet"/>
      <w:lvlText w:val="•"/>
      <w:lvlJc w:val="left"/>
      <w:pPr>
        <w:tabs>
          <w:tab w:val="num" w:pos="2880"/>
        </w:tabs>
        <w:ind w:left="2880" w:hanging="360"/>
      </w:pPr>
      <w:rPr>
        <w:rFonts w:ascii="Arial" w:hAnsi="Arial" w:hint="default"/>
      </w:rPr>
    </w:lvl>
    <w:lvl w:ilvl="4" w:tplc="985A64C2" w:tentative="1">
      <w:start w:val="1"/>
      <w:numFmt w:val="bullet"/>
      <w:lvlText w:val="•"/>
      <w:lvlJc w:val="left"/>
      <w:pPr>
        <w:tabs>
          <w:tab w:val="num" w:pos="3600"/>
        </w:tabs>
        <w:ind w:left="3600" w:hanging="360"/>
      </w:pPr>
      <w:rPr>
        <w:rFonts w:ascii="Arial" w:hAnsi="Arial" w:hint="default"/>
      </w:rPr>
    </w:lvl>
    <w:lvl w:ilvl="5" w:tplc="DF3C9E7E" w:tentative="1">
      <w:start w:val="1"/>
      <w:numFmt w:val="bullet"/>
      <w:lvlText w:val="•"/>
      <w:lvlJc w:val="left"/>
      <w:pPr>
        <w:tabs>
          <w:tab w:val="num" w:pos="4320"/>
        </w:tabs>
        <w:ind w:left="4320" w:hanging="360"/>
      </w:pPr>
      <w:rPr>
        <w:rFonts w:ascii="Arial" w:hAnsi="Arial" w:hint="default"/>
      </w:rPr>
    </w:lvl>
    <w:lvl w:ilvl="6" w:tplc="EE4806FC" w:tentative="1">
      <w:start w:val="1"/>
      <w:numFmt w:val="bullet"/>
      <w:lvlText w:val="•"/>
      <w:lvlJc w:val="left"/>
      <w:pPr>
        <w:tabs>
          <w:tab w:val="num" w:pos="5040"/>
        </w:tabs>
        <w:ind w:left="5040" w:hanging="360"/>
      </w:pPr>
      <w:rPr>
        <w:rFonts w:ascii="Arial" w:hAnsi="Arial" w:hint="default"/>
      </w:rPr>
    </w:lvl>
    <w:lvl w:ilvl="7" w:tplc="60260D46" w:tentative="1">
      <w:start w:val="1"/>
      <w:numFmt w:val="bullet"/>
      <w:lvlText w:val="•"/>
      <w:lvlJc w:val="left"/>
      <w:pPr>
        <w:tabs>
          <w:tab w:val="num" w:pos="5760"/>
        </w:tabs>
        <w:ind w:left="5760" w:hanging="360"/>
      </w:pPr>
      <w:rPr>
        <w:rFonts w:ascii="Arial" w:hAnsi="Arial" w:hint="default"/>
      </w:rPr>
    </w:lvl>
    <w:lvl w:ilvl="8" w:tplc="785CFFC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0D95949"/>
    <w:multiLevelType w:val="hybridMultilevel"/>
    <w:tmpl w:val="F880DFCC"/>
    <w:lvl w:ilvl="0" w:tplc="5FF81930">
      <w:start w:val="1"/>
      <w:numFmt w:val="bullet"/>
      <w:lvlText w:val="­"/>
      <w:lvlJc w:val="left"/>
      <w:pPr>
        <w:ind w:left="720" w:hanging="360"/>
      </w:pPr>
      <w:rPr>
        <w:rFonts w:ascii="SimSun" w:eastAsia="SimSun" w:hAnsi="SimSu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833584"/>
    <w:multiLevelType w:val="hybridMultilevel"/>
    <w:tmpl w:val="A2A0575E"/>
    <w:lvl w:ilvl="0" w:tplc="120CA344">
      <w:start w:val="1"/>
      <w:numFmt w:val="bullet"/>
      <w:lvlText w:val="•"/>
      <w:lvlJc w:val="left"/>
      <w:pPr>
        <w:tabs>
          <w:tab w:val="num" w:pos="720"/>
        </w:tabs>
        <w:ind w:left="720" w:hanging="360"/>
      </w:pPr>
      <w:rPr>
        <w:rFonts w:ascii="Arial" w:hAnsi="Arial" w:hint="default"/>
      </w:rPr>
    </w:lvl>
    <w:lvl w:ilvl="1" w:tplc="052CEA6E" w:tentative="1">
      <w:start w:val="1"/>
      <w:numFmt w:val="bullet"/>
      <w:lvlText w:val="•"/>
      <w:lvlJc w:val="left"/>
      <w:pPr>
        <w:tabs>
          <w:tab w:val="num" w:pos="1440"/>
        </w:tabs>
        <w:ind w:left="1440" w:hanging="360"/>
      </w:pPr>
      <w:rPr>
        <w:rFonts w:ascii="Arial" w:hAnsi="Arial" w:hint="default"/>
      </w:rPr>
    </w:lvl>
    <w:lvl w:ilvl="2" w:tplc="15CA45F4" w:tentative="1">
      <w:start w:val="1"/>
      <w:numFmt w:val="bullet"/>
      <w:lvlText w:val="•"/>
      <w:lvlJc w:val="left"/>
      <w:pPr>
        <w:tabs>
          <w:tab w:val="num" w:pos="2160"/>
        </w:tabs>
        <w:ind w:left="2160" w:hanging="360"/>
      </w:pPr>
      <w:rPr>
        <w:rFonts w:ascii="Arial" w:hAnsi="Arial" w:hint="default"/>
      </w:rPr>
    </w:lvl>
    <w:lvl w:ilvl="3" w:tplc="27DEB72E" w:tentative="1">
      <w:start w:val="1"/>
      <w:numFmt w:val="bullet"/>
      <w:lvlText w:val="•"/>
      <w:lvlJc w:val="left"/>
      <w:pPr>
        <w:tabs>
          <w:tab w:val="num" w:pos="2880"/>
        </w:tabs>
        <w:ind w:left="2880" w:hanging="360"/>
      </w:pPr>
      <w:rPr>
        <w:rFonts w:ascii="Arial" w:hAnsi="Arial" w:hint="default"/>
      </w:rPr>
    </w:lvl>
    <w:lvl w:ilvl="4" w:tplc="E56AD990" w:tentative="1">
      <w:start w:val="1"/>
      <w:numFmt w:val="bullet"/>
      <w:lvlText w:val="•"/>
      <w:lvlJc w:val="left"/>
      <w:pPr>
        <w:tabs>
          <w:tab w:val="num" w:pos="3600"/>
        </w:tabs>
        <w:ind w:left="3600" w:hanging="360"/>
      </w:pPr>
      <w:rPr>
        <w:rFonts w:ascii="Arial" w:hAnsi="Arial" w:hint="default"/>
      </w:rPr>
    </w:lvl>
    <w:lvl w:ilvl="5" w:tplc="18E08E22" w:tentative="1">
      <w:start w:val="1"/>
      <w:numFmt w:val="bullet"/>
      <w:lvlText w:val="•"/>
      <w:lvlJc w:val="left"/>
      <w:pPr>
        <w:tabs>
          <w:tab w:val="num" w:pos="4320"/>
        </w:tabs>
        <w:ind w:left="4320" w:hanging="360"/>
      </w:pPr>
      <w:rPr>
        <w:rFonts w:ascii="Arial" w:hAnsi="Arial" w:hint="default"/>
      </w:rPr>
    </w:lvl>
    <w:lvl w:ilvl="6" w:tplc="4322F35E" w:tentative="1">
      <w:start w:val="1"/>
      <w:numFmt w:val="bullet"/>
      <w:lvlText w:val="•"/>
      <w:lvlJc w:val="left"/>
      <w:pPr>
        <w:tabs>
          <w:tab w:val="num" w:pos="5040"/>
        </w:tabs>
        <w:ind w:left="5040" w:hanging="360"/>
      </w:pPr>
      <w:rPr>
        <w:rFonts w:ascii="Arial" w:hAnsi="Arial" w:hint="default"/>
      </w:rPr>
    </w:lvl>
    <w:lvl w:ilvl="7" w:tplc="11AA1016" w:tentative="1">
      <w:start w:val="1"/>
      <w:numFmt w:val="bullet"/>
      <w:lvlText w:val="•"/>
      <w:lvlJc w:val="left"/>
      <w:pPr>
        <w:tabs>
          <w:tab w:val="num" w:pos="5760"/>
        </w:tabs>
        <w:ind w:left="5760" w:hanging="360"/>
      </w:pPr>
      <w:rPr>
        <w:rFonts w:ascii="Arial" w:hAnsi="Arial" w:hint="default"/>
      </w:rPr>
    </w:lvl>
    <w:lvl w:ilvl="8" w:tplc="9F34392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66E0ADE"/>
    <w:multiLevelType w:val="hybridMultilevel"/>
    <w:tmpl w:val="4078A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88723F"/>
    <w:multiLevelType w:val="hybridMultilevel"/>
    <w:tmpl w:val="5DECA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BDA468A"/>
    <w:multiLevelType w:val="hybridMultilevel"/>
    <w:tmpl w:val="AEBE2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1E44C9"/>
    <w:multiLevelType w:val="hybridMultilevel"/>
    <w:tmpl w:val="3D46E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1DF4851"/>
    <w:multiLevelType w:val="hybridMultilevel"/>
    <w:tmpl w:val="015211E6"/>
    <w:lvl w:ilvl="0" w:tplc="F37EAF7E">
      <w:start w:val="1"/>
      <w:numFmt w:val="bullet"/>
      <w:lvlText w:val="•"/>
      <w:lvlJc w:val="left"/>
      <w:pPr>
        <w:tabs>
          <w:tab w:val="num" w:pos="720"/>
        </w:tabs>
        <w:ind w:left="720" w:hanging="360"/>
      </w:pPr>
      <w:rPr>
        <w:rFonts w:ascii="Arial" w:hAnsi="Arial" w:hint="default"/>
      </w:rPr>
    </w:lvl>
    <w:lvl w:ilvl="1" w:tplc="F04E8520" w:tentative="1">
      <w:start w:val="1"/>
      <w:numFmt w:val="bullet"/>
      <w:lvlText w:val="•"/>
      <w:lvlJc w:val="left"/>
      <w:pPr>
        <w:tabs>
          <w:tab w:val="num" w:pos="1440"/>
        </w:tabs>
        <w:ind w:left="1440" w:hanging="360"/>
      </w:pPr>
      <w:rPr>
        <w:rFonts w:ascii="Arial" w:hAnsi="Arial" w:hint="default"/>
      </w:rPr>
    </w:lvl>
    <w:lvl w:ilvl="2" w:tplc="C226B4BA" w:tentative="1">
      <w:start w:val="1"/>
      <w:numFmt w:val="bullet"/>
      <w:lvlText w:val="•"/>
      <w:lvlJc w:val="left"/>
      <w:pPr>
        <w:tabs>
          <w:tab w:val="num" w:pos="2160"/>
        </w:tabs>
        <w:ind w:left="2160" w:hanging="360"/>
      </w:pPr>
      <w:rPr>
        <w:rFonts w:ascii="Arial" w:hAnsi="Arial" w:hint="default"/>
      </w:rPr>
    </w:lvl>
    <w:lvl w:ilvl="3" w:tplc="F4C24810" w:tentative="1">
      <w:start w:val="1"/>
      <w:numFmt w:val="bullet"/>
      <w:lvlText w:val="•"/>
      <w:lvlJc w:val="left"/>
      <w:pPr>
        <w:tabs>
          <w:tab w:val="num" w:pos="2880"/>
        </w:tabs>
        <w:ind w:left="2880" w:hanging="360"/>
      </w:pPr>
      <w:rPr>
        <w:rFonts w:ascii="Arial" w:hAnsi="Arial" w:hint="default"/>
      </w:rPr>
    </w:lvl>
    <w:lvl w:ilvl="4" w:tplc="23B40750" w:tentative="1">
      <w:start w:val="1"/>
      <w:numFmt w:val="bullet"/>
      <w:lvlText w:val="•"/>
      <w:lvlJc w:val="left"/>
      <w:pPr>
        <w:tabs>
          <w:tab w:val="num" w:pos="3600"/>
        </w:tabs>
        <w:ind w:left="3600" w:hanging="360"/>
      </w:pPr>
      <w:rPr>
        <w:rFonts w:ascii="Arial" w:hAnsi="Arial" w:hint="default"/>
      </w:rPr>
    </w:lvl>
    <w:lvl w:ilvl="5" w:tplc="06BC9FAA" w:tentative="1">
      <w:start w:val="1"/>
      <w:numFmt w:val="bullet"/>
      <w:lvlText w:val="•"/>
      <w:lvlJc w:val="left"/>
      <w:pPr>
        <w:tabs>
          <w:tab w:val="num" w:pos="4320"/>
        </w:tabs>
        <w:ind w:left="4320" w:hanging="360"/>
      </w:pPr>
      <w:rPr>
        <w:rFonts w:ascii="Arial" w:hAnsi="Arial" w:hint="default"/>
      </w:rPr>
    </w:lvl>
    <w:lvl w:ilvl="6" w:tplc="AC4EDD3A" w:tentative="1">
      <w:start w:val="1"/>
      <w:numFmt w:val="bullet"/>
      <w:lvlText w:val="•"/>
      <w:lvlJc w:val="left"/>
      <w:pPr>
        <w:tabs>
          <w:tab w:val="num" w:pos="5040"/>
        </w:tabs>
        <w:ind w:left="5040" w:hanging="360"/>
      </w:pPr>
      <w:rPr>
        <w:rFonts w:ascii="Arial" w:hAnsi="Arial" w:hint="default"/>
      </w:rPr>
    </w:lvl>
    <w:lvl w:ilvl="7" w:tplc="AB7403AA" w:tentative="1">
      <w:start w:val="1"/>
      <w:numFmt w:val="bullet"/>
      <w:lvlText w:val="•"/>
      <w:lvlJc w:val="left"/>
      <w:pPr>
        <w:tabs>
          <w:tab w:val="num" w:pos="5760"/>
        </w:tabs>
        <w:ind w:left="5760" w:hanging="360"/>
      </w:pPr>
      <w:rPr>
        <w:rFonts w:ascii="Arial" w:hAnsi="Arial" w:hint="default"/>
      </w:rPr>
    </w:lvl>
    <w:lvl w:ilvl="8" w:tplc="E872008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BED18BC"/>
    <w:multiLevelType w:val="multilevel"/>
    <w:tmpl w:val="82A0DC2E"/>
    <w:lvl w:ilvl="0">
      <w:start w:val="1"/>
      <w:numFmt w:val="decimal"/>
      <w:lvlText w:val="%1."/>
      <w:lvlJc w:val="left"/>
      <w:pPr>
        <w:ind w:left="360" w:hanging="360"/>
      </w:pPr>
      <w:rPr>
        <w:rFonts w:hint="eastAsia"/>
        <w:b/>
        <w:sz w:val="32"/>
        <w:szCs w:val="32"/>
        <w:u w:val="none"/>
      </w:rPr>
    </w:lvl>
    <w:lvl w:ilvl="1">
      <w:start w:val="1"/>
      <w:numFmt w:val="decimal"/>
      <w:lvlText w:val="%1.%2."/>
      <w:lvlJc w:val="left"/>
      <w:pPr>
        <w:ind w:left="792" w:hanging="792"/>
      </w:pPr>
      <w:rPr>
        <w:rFonts w:hint="default"/>
        <w:sz w:val="28"/>
        <w:szCs w:val="24"/>
        <w:u w:val="none"/>
        <w:lang w:val="en-GB"/>
      </w:rPr>
    </w:lvl>
    <w:lvl w:ilvl="2">
      <w:start w:val="1"/>
      <w:numFmt w:val="decimal"/>
      <w:lvlText w:val="%1.%2.%3."/>
      <w:lvlJc w:val="left"/>
      <w:pPr>
        <w:ind w:left="1224" w:hanging="1224"/>
      </w:pPr>
      <w:rPr>
        <w:rFonts w:hint="default"/>
        <w:sz w:val="28"/>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CE22B24"/>
    <w:multiLevelType w:val="hybridMultilevel"/>
    <w:tmpl w:val="7200D18E"/>
    <w:lvl w:ilvl="0" w:tplc="C94C1652">
      <w:start w:val="1"/>
      <w:numFmt w:val="bullet"/>
      <w:lvlText w:val=""/>
      <w:lvlJc w:val="left"/>
      <w:pPr>
        <w:tabs>
          <w:tab w:val="num" w:pos="720"/>
        </w:tabs>
        <w:ind w:left="720" w:hanging="360"/>
      </w:pPr>
      <w:rPr>
        <w:rFonts w:ascii="Symbol" w:hAnsi="Symbol" w:hint="default"/>
      </w:rPr>
    </w:lvl>
    <w:lvl w:ilvl="1" w:tplc="C08A1752">
      <w:start w:val="17346"/>
      <w:numFmt w:val="bullet"/>
      <w:lvlText w:val="o"/>
      <w:lvlJc w:val="left"/>
      <w:pPr>
        <w:tabs>
          <w:tab w:val="num" w:pos="1440"/>
        </w:tabs>
        <w:ind w:left="1440" w:hanging="360"/>
      </w:pPr>
      <w:rPr>
        <w:rFonts w:ascii="Courier New" w:hAnsi="Courier New" w:hint="default"/>
      </w:rPr>
    </w:lvl>
    <w:lvl w:ilvl="2" w:tplc="2C0C1392" w:tentative="1">
      <w:start w:val="1"/>
      <w:numFmt w:val="bullet"/>
      <w:lvlText w:val=""/>
      <w:lvlJc w:val="left"/>
      <w:pPr>
        <w:tabs>
          <w:tab w:val="num" w:pos="2160"/>
        </w:tabs>
        <w:ind w:left="2160" w:hanging="360"/>
      </w:pPr>
      <w:rPr>
        <w:rFonts w:ascii="Symbol" w:hAnsi="Symbol" w:hint="default"/>
      </w:rPr>
    </w:lvl>
    <w:lvl w:ilvl="3" w:tplc="37923CD6" w:tentative="1">
      <w:start w:val="1"/>
      <w:numFmt w:val="bullet"/>
      <w:lvlText w:val=""/>
      <w:lvlJc w:val="left"/>
      <w:pPr>
        <w:tabs>
          <w:tab w:val="num" w:pos="2880"/>
        </w:tabs>
        <w:ind w:left="2880" w:hanging="360"/>
      </w:pPr>
      <w:rPr>
        <w:rFonts w:ascii="Symbol" w:hAnsi="Symbol" w:hint="default"/>
      </w:rPr>
    </w:lvl>
    <w:lvl w:ilvl="4" w:tplc="55E0039E" w:tentative="1">
      <w:start w:val="1"/>
      <w:numFmt w:val="bullet"/>
      <w:lvlText w:val=""/>
      <w:lvlJc w:val="left"/>
      <w:pPr>
        <w:tabs>
          <w:tab w:val="num" w:pos="3600"/>
        </w:tabs>
        <w:ind w:left="3600" w:hanging="360"/>
      </w:pPr>
      <w:rPr>
        <w:rFonts w:ascii="Symbol" w:hAnsi="Symbol" w:hint="default"/>
      </w:rPr>
    </w:lvl>
    <w:lvl w:ilvl="5" w:tplc="09DC80E6" w:tentative="1">
      <w:start w:val="1"/>
      <w:numFmt w:val="bullet"/>
      <w:lvlText w:val=""/>
      <w:lvlJc w:val="left"/>
      <w:pPr>
        <w:tabs>
          <w:tab w:val="num" w:pos="4320"/>
        </w:tabs>
        <w:ind w:left="4320" w:hanging="360"/>
      </w:pPr>
      <w:rPr>
        <w:rFonts w:ascii="Symbol" w:hAnsi="Symbol" w:hint="default"/>
      </w:rPr>
    </w:lvl>
    <w:lvl w:ilvl="6" w:tplc="A0427DBC" w:tentative="1">
      <w:start w:val="1"/>
      <w:numFmt w:val="bullet"/>
      <w:lvlText w:val=""/>
      <w:lvlJc w:val="left"/>
      <w:pPr>
        <w:tabs>
          <w:tab w:val="num" w:pos="5040"/>
        </w:tabs>
        <w:ind w:left="5040" w:hanging="360"/>
      </w:pPr>
      <w:rPr>
        <w:rFonts w:ascii="Symbol" w:hAnsi="Symbol" w:hint="default"/>
      </w:rPr>
    </w:lvl>
    <w:lvl w:ilvl="7" w:tplc="16AAC4E4" w:tentative="1">
      <w:start w:val="1"/>
      <w:numFmt w:val="bullet"/>
      <w:lvlText w:val=""/>
      <w:lvlJc w:val="left"/>
      <w:pPr>
        <w:tabs>
          <w:tab w:val="num" w:pos="5760"/>
        </w:tabs>
        <w:ind w:left="5760" w:hanging="360"/>
      </w:pPr>
      <w:rPr>
        <w:rFonts w:ascii="Symbol" w:hAnsi="Symbol" w:hint="default"/>
      </w:rPr>
    </w:lvl>
    <w:lvl w:ilvl="8" w:tplc="E02C75E4" w:tentative="1">
      <w:start w:val="1"/>
      <w:numFmt w:val="bullet"/>
      <w:lvlText w:val=""/>
      <w:lvlJc w:val="left"/>
      <w:pPr>
        <w:tabs>
          <w:tab w:val="num" w:pos="6480"/>
        </w:tabs>
        <w:ind w:left="6480" w:hanging="360"/>
      </w:pPr>
      <w:rPr>
        <w:rFonts w:ascii="Symbol" w:hAnsi="Symbol" w:hint="default"/>
      </w:rPr>
    </w:lvl>
  </w:abstractNum>
  <w:abstractNum w:abstractNumId="44"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EE151E3"/>
    <w:multiLevelType w:val="hybridMultilevel"/>
    <w:tmpl w:val="838C0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2"/>
  </w:num>
  <w:num w:numId="2">
    <w:abstractNumId w:val="17"/>
  </w:num>
  <w:num w:numId="3">
    <w:abstractNumId w:val="32"/>
  </w:num>
  <w:num w:numId="4">
    <w:abstractNumId w:val="3"/>
  </w:num>
  <w:num w:numId="5">
    <w:abstractNumId w:val="1"/>
  </w:num>
  <w:num w:numId="6">
    <w:abstractNumId w:val="38"/>
  </w:num>
  <w:num w:numId="7">
    <w:abstractNumId w:val="21"/>
  </w:num>
  <w:num w:numId="8">
    <w:abstractNumId w:val="29"/>
  </w:num>
  <w:num w:numId="9">
    <w:abstractNumId w:val="16"/>
  </w:num>
  <w:num w:numId="10">
    <w:abstractNumId w:val="13"/>
  </w:num>
  <w:num w:numId="11">
    <w:abstractNumId w:val="9"/>
  </w:num>
  <w:num w:numId="12">
    <w:abstractNumId w:val="12"/>
  </w:num>
  <w:num w:numId="13">
    <w:abstractNumId w:val="7"/>
  </w:num>
  <w:num w:numId="14">
    <w:abstractNumId w:val="39"/>
  </w:num>
  <w:num w:numId="15">
    <w:abstractNumId w:val="28"/>
  </w:num>
  <w:num w:numId="16">
    <w:abstractNumId w:val="41"/>
  </w:num>
  <w:num w:numId="17">
    <w:abstractNumId w:val="40"/>
  </w:num>
  <w:num w:numId="18">
    <w:abstractNumId w:val="22"/>
  </w:num>
  <w:num w:numId="19">
    <w:abstractNumId w:val="8"/>
  </w:num>
  <w:num w:numId="20">
    <w:abstractNumId w:val="7"/>
  </w:num>
  <w:num w:numId="21">
    <w:abstractNumId w:val="44"/>
  </w:num>
  <w:num w:numId="22">
    <w:abstractNumId w:val="18"/>
  </w:num>
  <w:num w:numId="23">
    <w:abstractNumId w:val="11"/>
  </w:num>
  <w:num w:numId="24">
    <w:abstractNumId w:val="15"/>
  </w:num>
  <w:num w:numId="25">
    <w:abstractNumId w:val="34"/>
  </w:num>
  <w:num w:numId="26">
    <w:abstractNumId w:val="28"/>
  </w:num>
  <w:num w:numId="27">
    <w:abstractNumId w:val="24"/>
  </w:num>
  <w:num w:numId="28">
    <w:abstractNumId w:val="25"/>
  </w:num>
  <w:num w:numId="29">
    <w:abstractNumId w:val="45"/>
  </w:num>
  <w:num w:numId="30">
    <w:abstractNumId w:val="2"/>
  </w:num>
  <w:num w:numId="31">
    <w:abstractNumId w:val="35"/>
  </w:num>
  <w:num w:numId="32">
    <w:abstractNumId w:val="27"/>
  </w:num>
  <w:num w:numId="33">
    <w:abstractNumId w:val="31"/>
  </w:num>
  <w:num w:numId="34">
    <w:abstractNumId w:val="33"/>
  </w:num>
  <w:num w:numId="35">
    <w:abstractNumId w:val="36"/>
  </w:num>
  <w:num w:numId="36">
    <w:abstractNumId w:val="37"/>
  </w:num>
  <w:num w:numId="37">
    <w:abstractNumId w:val="19"/>
  </w:num>
  <w:num w:numId="38">
    <w:abstractNumId w:val="6"/>
  </w:num>
  <w:num w:numId="39">
    <w:abstractNumId w:val="26"/>
  </w:num>
  <w:num w:numId="40">
    <w:abstractNumId w:val="7"/>
  </w:num>
  <w:num w:numId="41">
    <w:abstractNumId w:val="23"/>
  </w:num>
  <w:num w:numId="42">
    <w:abstractNumId w:val="4"/>
  </w:num>
  <w:num w:numId="43">
    <w:abstractNumId w:val="43"/>
  </w:num>
  <w:num w:numId="44">
    <w:abstractNumId w:val="10"/>
  </w:num>
  <w:num w:numId="45">
    <w:abstractNumId w:val="0"/>
  </w:num>
  <w:num w:numId="46">
    <w:abstractNumId w:val="30"/>
  </w:num>
  <w:num w:numId="47">
    <w:abstractNumId w:val="20"/>
  </w:num>
  <w:num w:numId="48">
    <w:abstractNumId w:val="5"/>
  </w:num>
  <w:num w:numId="49">
    <w:abstractNumId w:val="1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14B"/>
    <w:rsid w:val="0000052A"/>
    <w:rsid w:val="0000089F"/>
    <w:rsid w:val="00000D68"/>
    <w:rsid w:val="0000103B"/>
    <w:rsid w:val="000018BA"/>
    <w:rsid w:val="0000295E"/>
    <w:rsid w:val="00002EC0"/>
    <w:rsid w:val="00003CA9"/>
    <w:rsid w:val="00004B5C"/>
    <w:rsid w:val="00004C32"/>
    <w:rsid w:val="00004D60"/>
    <w:rsid w:val="00005184"/>
    <w:rsid w:val="0000711E"/>
    <w:rsid w:val="0000797A"/>
    <w:rsid w:val="000100EA"/>
    <w:rsid w:val="00010A8D"/>
    <w:rsid w:val="00010ACF"/>
    <w:rsid w:val="00010FC1"/>
    <w:rsid w:val="00011AF9"/>
    <w:rsid w:val="000130D0"/>
    <w:rsid w:val="00015A4D"/>
    <w:rsid w:val="00015FE8"/>
    <w:rsid w:val="000174A7"/>
    <w:rsid w:val="00017822"/>
    <w:rsid w:val="000201EC"/>
    <w:rsid w:val="000202C6"/>
    <w:rsid w:val="0002063D"/>
    <w:rsid w:val="00020ADF"/>
    <w:rsid w:val="00020C94"/>
    <w:rsid w:val="00020E0A"/>
    <w:rsid w:val="00020F7C"/>
    <w:rsid w:val="000210CE"/>
    <w:rsid w:val="0002187E"/>
    <w:rsid w:val="0002191D"/>
    <w:rsid w:val="000222A9"/>
    <w:rsid w:val="00022E98"/>
    <w:rsid w:val="00023029"/>
    <w:rsid w:val="000236A6"/>
    <w:rsid w:val="000236DE"/>
    <w:rsid w:val="00023722"/>
    <w:rsid w:val="00023821"/>
    <w:rsid w:val="000253E5"/>
    <w:rsid w:val="000257C8"/>
    <w:rsid w:val="00025BD3"/>
    <w:rsid w:val="00025DFA"/>
    <w:rsid w:val="000266A0"/>
    <w:rsid w:val="00026F21"/>
    <w:rsid w:val="000275A8"/>
    <w:rsid w:val="00027DEE"/>
    <w:rsid w:val="0003089D"/>
    <w:rsid w:val="00030F45"/>
    <w:rsid w:val="00031AC9"/>
    <w:rsid w:val="00031C1D"/>
    <w:rsid w:val="00031E1A"/>
    <w:rsid w:val="00031EEC"/>
    <w:rsid w:val="00032C88"/>
    <w:rsid w:val="00032DF4"/>
    <w:rsid w:val="00032F6B"/>
    <w:rsid w:val="00034979"/>
    <w:rsid w:val="00034CE2"/>
    <w:rsid w:val="0003512B"/>
    <w:rsid w:val="00035AA7"/>
    <w:rsid w:val="00036300"/>
    <w:rsid w:val="000368B7"/>
    <w:rsid w:val="0004005A"/>
    <w:rsid w:val="0004069A"/>
    <w:rsid w:val="00040ECD"/>
    <w:rsid w:val="00040FA9"/>
    <w:rsid w:val="00041C77"/>
    <w:rsid w:val="000421DA"/>
    <w:rsid w:val="00042268"/>
    <w:rsid w:val="000422DB"/>
    <w:rsid w:val="00042394"/>
    <w:rsid w:val="00042593"/>
    <w:rsid w:val="000425C0"/>
    <w:rsid w:val="00043A2D"/>
    <w:rsid w:val="00043A5A"/>
    <w:rsid w:val="0004438F"/>
    <w:rsid w:val="00044552"/>
    <w:rsid w:val="00044B83"/>
    <w:rsid w:val="0004529B"/>
    <w:rsid w:val="0004557C"/>
    <w:rsid w:val="00045593"/>
    <w:rsid w:val="0004559E"/>
    <w:rsid w:val="00046BDA"/>
    <w:rsid w:val="000476AD"/>
    <w:rsid w:val="000476B2"/>
    <w:rsid w:val="00047A5A"/>
    <w:rsid w:val="00047DA2"/>
    <w:rsid w:val="00047DB7"/>
    <w:rsid w:val="00047E0B"/>
    <w:rsid w:val="00047E4A"/>
    <w:rsid w:val="000504E6"/>
    <w:rsid w:val="00050870"/>
    <w:rsid w:val="00050A2F"/>
    <w:rsid w:val="000513B2"/>
    <w:rsid w:val="000513D0"/>
    <w:rsid w:val="00051E97"/>
    <w:rsid w:val="00051F82"/>
    <w:rsid w:val="0005357F"/>
    <w:rsid w:val="00053C5F"/>
    <w:rsid w:val="000542ED"/>
    <w:rsid w:val="00054348"/>
    <w:rsid w:val="00054424"/>
    <w:rsid w:val="0005462C"/>
    <w:rsid w:val="00055CF2"/>
    <w:rsid w:val="00056F43"/>
    <w:rsid w:val="00057946"/>
    <w:rsid w:val="00057AD8"/>
    <w:rsid w:val="00057BA5"/>
    <w:rsid w:val="00061A8C"/>
    <w:rsid w:val="00062A9D"/>
    <w:rsid w:val="00063B7B"/>
    <w:rsid w:val="000640C4"/>
    <w:rsid w:val="0006429E"/>
    <w:rsid w:val="000642AA"/>
    <w:rsid w:val="00064307"/>
    <w:rsid w:val="00064DEA"/>
    <w:rsid w:val="00065840"/>
    <w:rsid w:val="00065D8E"/>
    <w:rsid w:val="00065F28"/>
    <w:rsid w:val="00066C90"/>
    <w:rsid w:val="000673E1"/>
    <w:rsid w:val="00070330"/>
    <w:rsid w:val="00070649"/>
    <w:rsid w:val="000714A8"/>
    <w:rsid w:val="00072748"/>
    <w:rsid w:val="00072CB2"/>
    <w:rsid w:val="00072F1D"/>
    <w:rsid w:val="000733D9"/>
    <w:rsid w:val="00073E65"/>
    <w:rsid w:val="00074087"/>
    <w:rsid w:val="00074573"/>
    <w:rsid w:val="000745DD"/>
    <w:rsid w:val="0007597B"/>
    <w:rsid w:val="000771B7"/>
    <w:rsid w:val="000808F0"/>
    <w:rsid w:val="00081272"/>
    <w:rsid w:val="000817B9"/>
    <w:rsid w:val="00082160"/>
    <w:rsid w:val="000822CC"/>
    <w:rsid w:val="000824D7"/>
    <w:rsid w:val="000833D5"/>
    <w:rsid w:val="000837A9"/>
    <w:rsid w:val="00085981"/>
    <w:rsid w:val="00085C05"/>
    <w:rsid w:val="00085C1A"/>
    <w:rsid w:val="00085E6F"/>
    <w:rsid w:val="00086802"/>
    <w:rsid w:val="0008693B"/>
    <w:rsid w:val="000871CB"/>
    <w:rsid w:val="0008738E"/>
    <w:rsid w:val="00087F89"/>
    <w:rsid w:val="00090277"/>
    <w:rsid w:val="00090AC8"/>
    <w:rsid w:val="00091209"/>
    <w:rsid w:val="0009139B"/>
    <w:rsid w:val="000913F1"/>
    <w:rsid w:val="000916B4"/>
    <w:rsid w:val="00091900"/>
    <w:rsid w:val="000928AC"/>
    <w:rsid w:val="00092AC1"/>
    <w:rsid w:val="00092BA6"/>
    <w:rsid w:val="00092BA8"/>
    <w:rsid w:val="00093E7E"/>
    <w:rsid w:val="000941D3"/>
    <w:rsid w:val="00095409"/>
    <w:rsid w:val="00095C7B"/>
    <w:rsid w:val="00096334"/>
    <w:rsid w:val="00096F03"/>
    <w:rsid w:val="000972F3"/>
    <w:rsid w:val="0009767B"/>
    <w:rsid w:val="00097712"/>
    <w:rsid w:val="000A1729"/>
    <w:rsid w:val="000A21D1"/>
    <w:rsid w:val="000A2872"/>
    <w:rsid w:val="000A2A89"/>
    <w:rsid w:val="000A2B4A"/>
    <w:rsid w:val="000A2E10"/>
    <w:rsid w:val="000A3132"/>
    <w:rsid w:val="000A328D"/>
    <w:rsid w:val="000A3786"/>
    <w:rsid w:val="000A3CA5"/>
    <w:rsid w:val="000A426F"/>
    <w:rsid w:val="000A4805"/>
    <w:rsid w:val="000A4999"/>
    <w:rsid w:val="000A5660"/>
    <w:rsid w:val="000A5C32"/>
    <w:rsid w:val="000A6AE6"/>
    <w:rsid w:val="000A70AD"/>
    <w:rsid w:val="000A7E66"/>
    <w:rsid w:val="000A7E6B"/>
    <w:rsid w:val="000B0ACD"/>
    <w:rsid w:val="000B1145"/>
    <w:rsid w:val="000B1E4C"/>
    <w:rsid w:val="000B2EF7"/>
    <w:rsid w:val="000B3A12"/>
    <w:rsid w:val="000B40A3"/>
    <w:rsid w:val="000B41A3"/>
    <w:rsid w:val="000B4204"/>
    <w:rsid w:val="000B456B"/>
    <w:rsid w:val="000B4CC9"/>
    <w:rsid w:val="000B4E4C"/>
    <w:rsid w:val="000B50F4"/>
    <w:rsid w:val="000B510A"/>
    <w:rsid w:val="000B576C"/>
    <w:rsid w:val="000B586A"/>
    <w:rsid w:val="000B608B"/>
    <w:rsid w:val="000B6236"/>
    <w:rsid w:val="000B6DFE"/>
    <w:rsid w:val="000B7F68"/>
    <w:rsid w:val="000C0119"/>
    <w:rsid w:val="000C0C61"/>
    <w:rsid w:val="000C18A9"/>
    <w:rsid w:val="000C19F7"/>
    <w:rsid w:val="000C1AC6"/>
    <w:rsid w:val="000C1FD1"/>
    <w:rsid w:val="000C2298"/>
    <w:rsid w:val="000C2B82"/>
    <w:rsid w:val="000C3B67"/>
    <w:rsid w:val="000C3CDB"/>
    <w:rsid w:val="000C4262"/>
    <w:rsid w:val="000C439F"/>
    <w:rsid w:val="000C5824"/>
    <w:rsid w:val="000C6106"/>
    <w:rsid w:val="000C64B8"/>
    <w:rsid w:val="000C7A99"/>
    <w:rsid w:val="000C7C70"/>
    <w:rsid w:val="000C7EE7"/>
    <w:rsid w:val="000D0176"/>
    <w:rsid w:val="000D02DC"/>
    <w:rsid w:val="000D06B4"/>
    <w:rsid w:val="000D09A1"/>
    <w:rsid w:val="000D145B"/>
    <w:rsid w:val="000D27FE"/>
    <w:rsid w:val="000D2944"/>
    <w:rsid w:val="000D3CEA"/>
    <w:rsid w:val="000D4C0A"/>
    <w:rsid w:val="000D57E7"/>
    <w:rsid w:val="000D6CFC"/>
    <w:rsid w:val="000D6D80"/>
    <w:rsid w:val="000D7671"/>
    <w:rsid w:val="000D7F85"/>
    <w:rsid w:val="000E0000"/>
    <w:rsid w:val="000E0CD9"/>
    <w:rsid w:val="000E1A38"/>
    <w:rsid w:val="000E1D47"/>
    <w:rsid w:val="000E1E1E"/>
    <w:rsid w:val="000E22B3"/>
    <w:rsid w:val="000E332D"/>
    <w:rsid w:val="000E3CC4"/>
    <w:rsid w:val="000E4248"/>
    <w:rsid w:val="000E4A05"/>
    <w:rsid w:val="000E5099"/>
    <w:rsid w:val="000E5376"/>
    <w:rsid w:val="000E69EA"/>
    <w:rsid w:val="000E7047"/>
    <w:rsid w:val="000E7761"/>
    <w:rsid w:val="000E7AAC"/>
    <w:rsid w:val="000F0C9C"/>
    <w:rsid w:val="000F131A"/>
    <w:rsid w:val="000F230F"/>
    <w:rsid w:val="000F2A04"/>
    <w:rsid w:val="000F2AAC"/>
    <w:rsid w:val="000F2AF9"/>
    <w:rsid w:val="000F311E"/>
    <w:rsid w:val="000F3987"/>
    <w:rsid w:val="000F3A94"/>
    <w:rsid w:val="000F3D0E"/>
    <w:rsid w:val="000F51E2"/>
    <w:rsid w:val="000F5257"/>
    <w:rsid w:val="000F5469"/>
    <w:rsid w:val="000F5D28"/>
    <w:rsid w:val="000F5F26"/>
    <w:rsid w:val="000F61B2"/>
    <w:rsid w:val="000F670B"/>
    <w:rsid w:val="000F777B"/>
    <w:rsid w:val="000F79D4"/>
    <w:rsid w:val="000F7C77"/>
    <w:rsid w:val="000F7EFE"/>
    <w:rsid w:val="00100857"/>
    <w:rsid w:val="00101012"/>
    <w:rsid w:val="0010125D"/>
    <w:rsid w:val="001012D3"/>
    <w:rsid w:val="001013C6"/>
    <w:rsid w:val="00101695"/>
    <w:rsid w:val="00103DC1"/>
    <w:rsid w:val="0010400C"/>
    <w:rsid w:val="00104141"/>
    <w:rsid w:val="00104170"/>
    <w:rsid w:val="00104D8B"/>
    <w:rsid w:val="00105154"/>
    <w:rsid w:val="00105555"/>
    <w:rsid w:val="00105626"/>
    <w:rsid w:val="00106E12"/>
    <w:rsid w:val="00107B06"/>
    <w:rsid w:val="0011008B"/>
    <w:rsid w:val="001101C2"/>
    <w:rsid w:val="001101EC"/>
    <w:rsid w:val="001114A7"/>
    <w:rsid w:val="00112254"/>
    <w:rsid w:val="001123AD"/>
    <w:rsid w:val="00112E92"/>
    <w:rsid w:val="00113002"/>
    <w:rsid w:val="0011336A"/>
    <w:rsid w:val="001135BD"/>
    <w:rsid w:val="0011509D"/>
    <w:rsid w:val="00115249"/>
    <w:rsid w:val="00115A2E"/>
    <w:rsid w:val="00115FFB"/>
    <w:rsid w:val="00116610"/>
    <w:rsid w:val="0011706A"/>
    <w:rsid w:val="00117A88"/>
    <w:rsid w:val="00117BBB"/>
    <w:rsid w:val="001206F8"/>
    <w:rsid w:val="00120CBA"/>
    <w:rsid w:val="00120DCF"/>
    <w:rsid w:val="0012153E"/>
    <w:rsid w:val="00121BA2"/>
    <w:rsid w:val="00123454"/>
    <w:rsid w:val="00123554"/>
    <w:rsid w:val="00123680"/>
    <w:rsid w:val="001238DA"/>
    <w:rsid w:val="00124404"/>
    <w:rsid w:val="00125275"/>
    <w:rsid w:val="0012534D"/>
    <w:rsid w:val="0012564F"/>
    <w:rsid w:val="00125BC9"/>
    <w:rsid w:val="00126900"/>
    <w:rsid w:val="00126992"/>
    <w:rsid w:val="001279AA"/>
    <w:rsid w:val="00130872"/>
    <w:rsid w:val="00130915"/>
    <w:rsid w:val="00130ED8"/>
    <w:rsid w:val="00130FE6"/>
    <w:rsid w:val="001318EE"/>
    <w:rsid w:val="00131B63"/>
    <w:rsid w:val="00132A1B"/>
    <w:rsid w:val="00132AA7"/>
    <w:rsid w:val="00132D63"/>
    <w:rsid w:val="0013300C"/>
    <w:rsid w:val="0013417F"/>
    <w:rsid w:val="001343AF"/>
    <w:rsid w:val="00134612"/>
    <w:rsid w:val="001352C6"/>
    <w:rsid w:val="00135703"/>
    <w:rsid w:val="00135949"/>
    <w:rsid w:val="001370D0"/>
    <w:rsid w:val="00137B0F"/>
    <w:rsid w:val="0014010C"/>
    <w:rsid w:val="00140384"/>
    <w:rsid w:val="00140521"/>
    <w:rsid w:val="00140635"/>
    <w:rsid w:val="00141D07"/>
    <w:rsid w:val="0014222C"/>
    <w:rsid w:val="00142270"/>
    <w:rsid w:val="001435BA"/>
    <w:rsid w:val="00143961"/>
    <w:rsid w:val="001442F5"/>
    <w:rsid w:val="00144969"/>
    <w:rsid w:val="00144B7E"/>
    <w:rsid w:val="00145DEE"/>
    <w:rsid w:val="00146137"/>
    <w:rsid w:val="001462C1"/>
    <w:rsid w:val="00146D7C"/>
    <w:rsid w:val="00147FA4"/>
    <w:rsid w:val="00147FAD"/>
    <w:rsid w:val="00150136"/>
    <w:rsid w:val="001501AD"/>
    <w:rsid w:val="001505FA"/>
    <w:rsid w:val="00150891"/>
    <w:rsid w:val="00150ED7"/>
    <w:rsid w:val="00150FA5"/>
    <w:rsid w:val="001511E7"/>
    <w:rsid w:val="00151374"/>
    <w:rsid w:val="00152147"/>
    <w:rsid w:val="00152EF4"/>
    <w:rsid w:val="00153455"/>
    <w:rsid w:val="00153528"/>
    <w:rsid w:val="00154F19"/>
    <w:rsid w:val="00154F7C"/>
    <w:rsid w:val="00156BE2"/>
    <w:rsid w:val="0015762C"/>
    <w:rsid w:val="00157926"/>
    <w:rsid w:val="00157BB4"/>
    <w:rsid w:val="00160FEC"/>
    <w:rsid w:val="0016145A"/>
    <w:rsid w:val="00162207"/>
    <w:rsid w:val="001622CB"/>
    <w:rsid w:val="00162365"/>
    <w:rsid w:val="00162BBE"/>
    <w:rsid w:val="0016325C"/>
    <w:rsid w:val="001642A0"/>
    <w:rsid w:val="00165892"/>
    <w:rsid w:val="0016596F"/>
    <w:rsid w:val="001659E7"/>
    <w:rsid w:val="00165D96"/>
    <w:rsid w:val="0016609D"/>
    <w:rsid w:val="0016654B"/>
    <w:rsid w:val="0017055F"/>
    <w:rsid w:val="00171EA4"/>
    <w:rsid w:val="001721DB"/>
    <w:rsid w:val="00172C0E"/>
    <w:rsid w:val="00172D78"/>
    <w:rsid w:val="00172DF2"/>
    <w:rsid w:val="001736D7"/>
    <w:rsid w:val="00173A55"/>
    <w:rsid w:val="0017439C"/>
    <w:rsid w:val="001748C4"/>
    <w:rsid w:val="00174F1A"/>
    <w:rsid w:val="0017598B"/>
    <w:rsid w:val="00175F3E"/>
    <w:rsid w:val="00176A28"/>
    <w:rsid w:val="00176CAF"/>
    <w:rsid w:val="0017713C"/>
    <w:rsid w:val="001771A2"/>
    <w:rsid w:val="00177CEB"/>
    <w:rsid w:val="00177DC6"/>
    <w:rsid w:val="001801C6"/>
    <w:rsid w:val="00181672"/>
    <w:rsid w:val="0018170B"/>
    <w:rsid w:val="00181ED4"/>
    <w:rsid w:val="0018229F"/>
    <w:rsid w:val="00182596"/>
    <w:rsid w:val="00182599"/>
    <w:rsid w:val="001825D6"/>
    <w:rsid w:val="00182B63"/>
    <w:rsid w:val="00183297"/>
    <w:rsid w:val="00183A9C"/>
    <w:rsid w:val="001842CE"/>
    <w:rsid w:val="001844EE"/>
    <w:rsid w:val="0018460A"/>
    <w:rsid w:val="00184E0F"/>
    <w:rsid w:val="001859C7"/>
    <w:rsid w:val="001876FC"/>
    <w:rsid w:val="00191AD9"/>
    <w:rsid w:val="00192163"/>
    <w:rsid w:val="00192DB6"/>
    <w:rsid w:val="00193650"/>
    <w:rsid w:val="00193D85"/>
    <w:rsid w:val="00194FCC"/>
    <w:rsid w:val="00195534"/>
    <w:rsid w:val="001956C9"/>
    <w:rsid w:val="00195803"/>
    <w:rsid w:val="00195925"/>
    <w:rsid w:val="001968B4"/>
    <w:rsid w:val="001972CE"/>
    <w:rsid w:val="00197490"/>
    <w:rsid w:val="0019768C"/>
    <w:rsid w:val="00197D2F"/>
    <w:rsid w:val="001A08AA"/>
    <w:rsid w:val="001A0BB8"/>
    <w:rsid w:val="001A1373"/>
    <w:rsid w:val="001A169A"/>
    <w:rsid w:val="001A2025"/>
    <w:rsid w:val="001A2850"/>
    <w:rsid w:val="001A3212"/>
    <w:rsid w:val="001A32ED"/>
    <w:rsid w:val="001A34CF"/>
    <w:rsid w:val="001A37FE"/>
    <w:rsid w:val="001A3B72"/>
    <w:rsid w:val="001A4E34"/>
    <w:rsid w:val="001A5826"/>
    <w:rsid w:val="001A5BFD"/>
    <w:rsid w:val="001A6ADB"/>
    <w:rsid w:val="001A747A"/>
    <w:rsid w:val="001A7793"/>
    <w:rsid w:val="001A7C51"/>
    <w:rsid w:val="001B091A"/>
    <w:rsid w:val="001B0BB8"/>
    <w:rsid w:val="001B0CB9"/>
    <w:rsid w:val="001B0E4B"/>
    <w:rsid w:val="001B0F03"/>
    <w:rsid w:val="001B14EC"/>
    <w:rsid w:val="001B19C0"/>
    <w:rsid w:val="001B2A77"/>
    <w:rsid w:val="001B31BA"/>
    <w:rsid w:val="001B345E"/>
    <w:rsid w:val="001B34FB"/>
    <w:rsid w:val="001B523A"/>
    <w:rsid w:val="001B6724"/>
    <w:rsid w:val="001B68FA"/>
    <w:rsid w:val="001B7E32"/>
    <w:rsid w:val="001B7EC7"/>
    <w:rsid w:val="001C0158"/>
    <w:rsid w:val="001C0CA6"/>
    <w:rsid w:val="001C19E0"/>
    <w:rsid w:val="001C22EB"/>
    <w:rsid w:val="001C23EA"/>
    <w:rsid w:val="001C26D0"/>
    <w:rsid w:val="001C2EA0"/>
    <w:rsid w:val="001C3247"/>
    <w:rsid w:val="001C3953"/>
    <w:rsid w:val="001C3D21"/>
    <w:rsid w:val="001C3ECE"/>
    <w:rsid w:val="001C5082"/>
    <w:rsid w:val="001C6086"/>
    <w:rsid w:val="001C61CF"/>
    <w:rsid w:val="001C6910"/>
    <w:rsid w:val="001C6A4B"/>
    <w:rsid w:val="001C6E6F"/>
    <w:rsid w:val="001C72D0"/>
    <w:rsid w:val="001C75A5"/>
    <w:rsid w:val="001C75EB"/>
    <w:rsid w:val="001C7F09"/>
    <w:rsid w:val="001D0BC6"/>
    <w:rsid w:val="001D1309"/>
    <w:rsid w:val="001D1D0B"/>
    <w:rsid w:val="001D2BB6"/>
    <w:rsid w:val="001D2EE3"/>
    <w:rsid w:val="001D35F9"/>
    <w:rsid w:val="001D3B14"/>
    <w:rsid w:val="001D3F27"/>
    <w:rsid w:val="001D3FFF"/>
    <w:rsid w:val="001D419F"/>
    <w:rsid w:val="001D50EA"/>
    <w:rsid w:val="001D5133"/>
    <w:rsid w:val="001D51D5"/>
    <w:rsid w:val="001D546D"/>
    <w:rsid w:val="001D5787"/>
    <w:rsid w:val="001D5B81"/>
    <w:rsid w:val="001D5C48"/>
    <w:rsid w:val="001D5E60"/>
    <w:rsid w:val="001D6212"/>
    <w:rsid w:val="001D64C3"/>
    <w:rsid w:val="001D72E5"/>
    <w:rsid w:val="001E0941"/>
    <w:rsid w:val="001E0C20"/>
    <w:rsid w:val="001E1749"/>
    <w:rsid w:val="001E1786"/>
    <w:rsid w:val="001E2275"/>
    <w:rsid w:val="001E23FE"/>
    <w:rsid w:val="001E24E5"/>
    <w:rsid w:val="001E2B7B"/>
    <w:rsid w:val="001E3B39"/>
    <w:rsid w:val="001E4210"/>
    <w:rsid w:val="001E460A"/>
    <w:rsid w:val="001E5837"/>
    <w:rsid w:val="001E5DED"/>
    <w:rsid w:val="001F0044"/>
    <w:rsid w:val="001F04BE"/>
    <w:rsid w:val="001F0EC9"/>
    <w:rsid w:val="001F14DA"/>
    <w:rsid w:val="001F1E3A"/>
    <w:rsid w:val="001F1F53"/>
    <w:rsid w:val="001F20FF"/>
    <w:rsid w:val="001F27B3"/>
    <w:rsid w:val="001F29CA"/>
    <w:rsid w:val="001F368D"/>
    <w:rsid w:val="001F3E5A"/>
    <w:rsid w:val="001F4006"/>
    <w:rsid w:val="001F4E2B"/>
    <w:rsid w:val="001F5582"/>
    <w:rsid w:val="001F5735"/>
    <w:rsid w:val="001F5994"/>
    <w:rsid w:val="001F59E8"/>
    <w:rsid w:val="001F6297"/>
    <w:rsid w:val="001F6491"/>
    <w:rsid w:val="001F65EF"/>
    <w:rsid w:val="001F6A1E"/>
    <w:rsid w:val="001F6B21"/>
    <w:rsid w:val="001F6EBF"/>
    <w:rsid w:val="001F76B6"/>
    <w:rsid w:val="001F7CBE"/>
    <w:rsid w:val="002004AE"/>
    <w:rsid w:val="00201904"/>
    <w:rsid w:val="00201C62"/>
    <w:rsid w:val="00201DC9"/>
    <w:rsid w:val="00202365"/>
    <w:rsid w:val="002023A0"/>
    <w:rsid w:val="002029BA"/>
    <w:rsid w:val="0020395A"/>
    <w:rsid w:val="00203979"/>
    <w:rsid w:val="00203A01"/>
    <w:rsid w:val="002054DF"/>
    <w:rsid w:val="0020641B"/>
    <w:rsid w:val="002065C6"/>
    <w:rsid w:val="00207107"/>
    <w:rsid w:val="00207234"/>
    <w:rsid w:val="002072A9"/>
    <w:rsid w:val="00207855"/>
    <w:rsid w:val="002079B5"/>
    <w:rsid w:val="00207BC3"/>
    <w:rsid w:val="00207E3E"/>
    <w:rsid w:val="002100F0"/>
    <w:rsid w:val="0021141F"/>
    <w:rsid w:val="00211C4A"/>
    <w:rsid w:val="00212071"/>
    <w:rsid w:val="00212373"/>
    <w:rsid w:val="002135E1"/>
    <w:rsid w:val="002138EA"/>
    <w:rsid w:val="00213CE2"/>
    <w:rsid w:val="002143B4"/>
    <w:rsid w:val="002145A9"/>
    <w:rsid w:val="00214FBD"/>
    <w:rsid w:val="00214FCA"/>
    <w:rsid w:val="00215262"/>
    <w:rsid w:val="002153E7"/>
    <w:rsid w:val="0021595F"/>
    <w:rsid w:val="00215A41"/>
    <w:rsid w:val="0021658A"/>
    <w:rsid w:val="00216BAE"/>
    <w:rsid w:val="00216D13"/>
    <w:rsid w:val="00216D2C"/>
    <w:rsid w:val="00221DE2"/>
    <w:rsid w:val="002223A7"/>
    <w:rsid w:val="00222897"/>
    <w:rsid w:val="002229A2"/>
    <w:rsid w:val="0022356A"/>
    <w:rsid w:val="002238B3"/>
    <w:rsid w:val="00223FD4"/>
    <w:rsid w:val="00224B42"/>
    <w:rsid w:val="0022517F"/>
    <w:rsid w:val="00225844"/>
    <w:rsid w:val="00225BE1"/>
    <w:rsid w:val="00226936"/>
    <w:rsid w:val="00226F85"/>
    <w:rsid w:val="00230750"/>
    <w:rsid w:val="002308EA"/>
    <w:rsid w:val="00230D6E"/>
    <w:rsid w:val="00231062"/>
    <w:rsid w:val="002312AD"/>
    <w:rsid w:val="002312C7"/>
    <w:rsid w:val="0023155E"/>
    <w:rsid w:val="00232669"/>
    <w:rsid w:val="00232FAE"/>
    <w:rsid w:val="002334FB"/>
    <w:rsid w:val="00233B5D"/>
    <w:rsid w:val="002349FC"/>
    <w:rsid w:val="00234E38"/>
    <w:rsid w:val="00234E65"/>
    <w:rsid w:val="0023533D"/>
    <w:rsid w:val="00235394"/>
    <w:rsid w:val="00235A9B"/>
    <w:rsid w:val="002369D9"/>
    <w:rsid w:val="00236D16"/>
    <w:rsid w:val="00237BF5"/>
    <w:rsid w:val="00237DB8"/>
    <w:rsid w:val="0024004E"/>
    <w:rsid w:val="0024060D"/>
    <w:rsid w:val="00240D7B"/>
    <w:rsid w:val="00241D4B"/>
    <w:rsid w:val="00241DD6"/>
    <w:rsid w:val="0024337A"/>
    <w:rsid w:val="00243646"/>
    <w:rsid w:val="00243EDB"/>
    <w:rsid w:val="0024402A"/>
    <w:rsid w:val="00244DA5"/>
    <w:rsid w:val="00245D28"/>
    <w:rsid w:val="002466A8"/>
    <w:rsid w:val="00246B59"/>
    <w:rsid w:val="002473DA"/>
    <w:rsid w:val="00247445"/>
    <w:rsid w:val="00250090"/>
    <w:rsid w:val="002508A2"/>
    <w:rsid w:val="00250C79"/>
    <w:rsid w:val="00251400"/>
    <w:rsid w:val="002519D3"/>
    <w:rsid w:val="0025215B"/>
    <w:rsid w:val="00252BA8"/>
    <w:rsid w:val="00253566"/>
    <w:rsid w:val="00253AEB"/>
    <w:rsid w:val="00253CB6"/>
    <w:rsid w:val="00253D07"/>
    <w:rsid w:val="002540F5"/>
    <w:rsid w:val="00254DD3"/>
    <w:rsid w:val="002551EE"/>
    <w:rsid w:val="002562E3"/>
    <w:rsid w:val="0025642B"/>
    <w:rsid w:val="002573AD"/>
    <w:rsid w:val="002574CC"/>
    <w:rsid w:val="00257794"/>
    <w:rsid w:val="002605B5"/>
    <w:rsid w:val="00260D30"/>
    <w:rsid w:val="002610DB"/>
    <w:rsid w:val="0026179F"/>
    <w:rsid w:val="0026235A"/>
    <w:rsid w:val="00262F57"/>
    <w:rsid w:val="00263458"/>
    <w:rsid w:val="002636F0"/>
    <w:rsid w:val="00263AA3"/>
    <w:rsid w:val="00264B35"/>
    <w:rsid w:val="002652AD"/>
    <w:rsid w:val="002654DE"/>
    <w:rsid w:val="00266983"/>
    <w:rsid w:val="00266B27"/>
    <w:rsid w:val="00267382"/>
    <w:rsid w:val="00267D1C"/>
    <w:rsid w:val="002706A5"/>
    <w:rsid w:val="002713AC"/>
    <w:rsid w:val="00271416"/>
    <w:rsid w:val="00271B4B"/>
    <w:rsid w:val="00271EBE"/>
    <w:rsid w:val="00272E43"/>
    <w:rsid w:val="002738A3"/>
    <w:rsid w:val="00273A2F"/>
    <w:rsid w:val="00274234"/>
    <w:rsid w:val="00274E1A"/>
    <w:rsid w:val="00274FCC"/>
    <w:rsid w:val="00275245"/>
    <w:rsid w:val="002764C0"/>
    <w:rsid w:val="002768D7"/>
    <w:rsid w:val="002778C9"/>
    <w:rsid w:val="0028022D"/>
    <w:rsid w:val="002809D5"/>
    <w:rsid w:val="00280A83"/>
    <w:rsid w:val="00281F5B"/>
    <w:rsid w:val="00282025"/>
    <w:rsid w:val="00282213"/>
    <w:rsid w:val="00283275"/>
    <w:rsid w:val="00283354"/>
    <w:rsid w:val="002833F9"/>
    <w:rsid w:val="00283827"/>
    <w:rsid w:val="00283EE1"/>
    <w:rsid w:val="002847AC"/>
    <w:rsid w:val="002848CE"/>
    <w:rsid w:val="0028510D"/>
    <w:rsid w:val="00285744"/>
    <w:rsid w:val="002857C6"/>
    <w:rsid w:val="00285979"/>
    <w:rsid w:val="00286172"/>
    <w:rsid w:val="0028623F"/>
    <w:rsid w:val="00286313"/>
    <w:rsid w:val="0028673D"/>
    <w:rsid w:val="00286EB9"/>
    <w:rsid w:val="0028740A"/>
    <w:rsid w:val="00287935"/>
    <w:rsid w:val="00287D57"/>
    <w:rsid w:val="00290270"/>
    <w:rsid w:val="00291349"/>
    <w:rsid w:val="0029193E"/>
    <w:rsid w:val="00292870"/>
    <w:rsid w:val="0029323E"/>
    <w:rsid w:val="00293D4A"/>
    <w:rsid w:val="00293D7D"/>
    <w:rsid w:val="0029436D"/>
    <w:rsid w:val="00294AA9"/>
    <w:rsid w:val="00296F7F"/>
    <w:rsid w:val="002973C1"/>
    <w:rsid w:val="002975B0"/>
    <w:rsid w:val="00297A3F"/>
    <w:rsid w:val="00297D09"/>
    <w:rsid w:val="00297DCD"/>
    <w:rsid w:val="002A0AB7"/>
    <w:rsid w:val="002A21B0"/>
    <w:rsid w:val="002A24D4"/>
    <w:rsid w:val="002A3574"/>
    <w:rsid w:val="002A3B6B"/>
    <w:rsid w:val="002A49CB"/>
    <w:rsid w:val="002A49F5"/>
    <w:rsid w:val="002A5250"/>
    <w:rsid w:val="002A5427"/>
    <w:rsid w:val="002A550E"/>
    <w:rsid w:val="002A562B"/>
    <w:rsid w:val="002A584F"/>
    <w:rsid w:val="002A5BA3"/>
    <w:rsid w:val="002A6283"/>
    <w:rsid w:val="002A64FA"/>
    <w:rsid w:val="002A6B5E"/>
    <w:rsid w:val="002A6FE9"/>
    <w:rsid w:val="002A73DA"/>
    <w:rsid w:val="002A76F1"/>
    <w:rsid w:val="002A7966"/>
    <w:rsid w:val="002B03F8"/>
    <w:rsid w:val="002B0A84"/>
    <w:rsid w:val="002B0D4B"/>
    <w:rsid w:val="002B15EC"/>
    <w:rsid w:val="002B1E8F"/>
    <w:rsid w:val="002B2B59"/>
    <w:rsid w:val="002B31D8"/>
    <w:rsid w:val="002B322F"/>
    <w:rsid w:val="002B3523"/>
    <w:rsid w:val="002B4231"/>
    <w:rsid w:val="002B429C"/>
    <w:rsid w:val="002B583D"/>
    <w:rsid w:val="002B62F6"/>
    <w:rsid w:val="002B66E7"/>
    <w:rsid w:val="002B6CEF"/>
    <w:rsid w:val="002B75CE"/>
    <w:rsid w:val="002B7D5E"/>
    <w:rsid w:val="002C080E"/>
    <w:rsid w:val="002C27B7"/>
    <w:rsid w:val="002C3773"/>
    <w:rsid w:val="002C3BFD"/>
    <w:rsid w:val="002C3F4C"/>
    <w:rsid w:val="002C42DC"/>
    <w:rsid w:val="002C4393"/>
    <w:rsid w:val="002C45D2"/>
    <w:rsid w:val="002C54B7"/>
    <w:rsid w:val="002C5CBA"/>
    <w:rsid w:val="002C6D84"/>
    <w:rsid w:val="002C71A0"/>
    <w:rsid w:val="002D06F5"/>
    <w:rsid w:val="002D087D"/>
    <w:rsid w:val="002D0A18"/>
    <w:rsid w:val="002D0CB8"/>
    <w:rsid w:val="002D16C7"/>
    <w:rsid w:val="002D1BDA"/>
    <w:rsid w:val="002D1CB2"/>
    <w:rsid w:val="002D2605"/>
    <w:rsid w:val="002D2CB8"/>
    <w:rsid w:val="002D2DB3"/>
    <w:rsid w:val="002D4028"/>
    <w:rsid w:val="002D4BB4"/>
    <w:rsid w:val="002D50CE"/>
    <w:rsid w:val="002D58F4"/>
    <w:rsid w:val="002D5A18"/>
    <w:rsid w:val="002D6CCF"/>
    <w:rsid w:val="002D6ED6"/>
    <w:rsid w:val="002D7191"/>
    <w:rsid w:val="002D758E"/>
    <w:rsid w:val="002D7C81"/>
    <w:rsid w:val="002E086B"/>
    <w:rsid w:val="002E0907"/>
    <w:rsid w:val="002E0B58"/>
    <w:rsid w:val="002E0B64"/>
    <w:rsid w:val="002E18B5"/>
    <w:rsid w:val="002E1BC7"/>
    <w:rsid w:val="002E22EB"/>
    <w:rsid w:val="002E29E4"/>
    <w:rsid w:val="002E324D"/>
    <w:rsid w:val="002E348D"/>
    <w:rsid w:val="002E368C"/>
    <w:rsid w:val="002E3D8C"/>
    <w:rsid w:val="002E5799"/>
    <w:rsid w:val="002E5C02"/>
    <w:rsid w:val="002E644B"/>
    <w:rsid w:val="002E74A0"/>
    <w:rsid w:val="002E7A52"/>
    <w:rsid w:val="002F06F4"/>
    <w:rsid w:val="002F0FE7"/>
    <w:rsid w:val="002F2A94"/>
    <w:rsid w:val="002F32A2"/>
    <w:rsid w:val="002F3648"/>
    <w:rsid w:val="002F3FC8"/>
    <w:rsid w:val="002F4093"/>
    <w:rsid w:val="002F40CC"/>
    <w:rsid w:val="002F40F2"/>
    <w:rsid w:val="002F4510"/>
    <w:rsid w:val="002F46D1"/>
    <w:rsid w:val="002F4BCE"/>
    <w:rsid w:val="002F5C10"/>
    <w:rsid w:val="002F6309"/>
    <w:rsid w:val="002F63F6"/>
    <w:rsid w:val="002F6A1A"/>
    <w:rsid w:val="002F7519"/>
    <w:rsid w:val="002F7537"/>
    <w:rsid w:val="002F7B20"/>
    <w:rsid w:val="003003CA"/>
    <w:rsid w:val="00301E2D"/>
    <w:rsid w:val="003024F5"/>
    <w:rsid w:val="00302A25"/>
    <w:rsid w:val="00302AC5"/>
    <w:rsid w:val="003033E6"/>
    <w:rsid w:val="00303A00"/>
    <w:rsid w:val="003050D7"/>
    <w:rsid w:val="003052F8"/>
    <w:rsid w:val="0030601E"/>
    <w:rsid w:val="00306382"/>
    <w:rsid w:val="003065E0"/>
    <w:rsid w:val="00306AF7"/>
    <w:rsid w:val="00306B48"/>
    <w:rsid w:val="00307D21"/>
    <w:rsid w:val="00307F10"/>
    <w:rsid w:val="00310A79"/>
    <w:rsid w:val="00310A97"/>
    <w:rsid w:val="00310C5E"/>
    <w:rsid w:val="00311037"/>
    <w:rsid w:val="00311AB4"/>
    <w:rsid w:val="00311DF9"/>
    <w:rsid w:val="0031257C"/>
    <w:rsid w:val="003129D4"/>
    <w:rsid w:val="00313535"/>
    <w:rsid w:val="0031362C"/>
    <w:rsid w:val="003141ED"/>
    <w:rsid w:val="00315078"/>
    <w:rsid w:val="0031529D"/>
    <w:rsid w:val="003167B9"/>
    <w:rsid w:val="00316814"/>
    <w:rsid w:val="003202A1"/>
    <w:rsid w:val="00320CE3"/>
    <w:rsid w:val="00320D41"/>
    <w:rsid w:val="003210CC"/>
    <w:rsid w:val="003212DA"/>
    <w:rsid w:val="00321579"/>
    <w:rsid w:val="00321A7F"/>
    <w:rsid w:val="00322385"/>
    <w:rsid w:val="003242FE"/>
    <w:rsid w:val="00324EB1"/>
    <w:rsid w:val="0032570F"/>
    <w:rsid w:val="00325D23"/>
    <w:rsid w:val="00325FCB"/>
    <w:rsid w:val="0032614F"/>
    <w:rsid w:val="00326258"/>
    <w:rsid w:val="00326621"/>
    <w:rsid w:val="00326743"/>
    <w:rsid w:val="00326BDC"/>
    <w:rsid w:val="00327741"/>
    <w:rsid w:val="00327F64"/>
    <w:rsid w:val="00330BE0"/>
    <w:rsid w:val="00331F8D"/>
    <w:rsid w:val="00331FEE"/>
    <w:rsid w:val="00332C25"/>
    <w:rsid w:val="00332FB9"/>
    <w:rsid w:val="00333A47"/>
    <w:rsid w:val="003366B3"/>
    <w:rsid w:val="00337037"/>
    <w:rsid w:val="00337BA4"/>
    <w:rsid w:val="00337F57"/>
    <w:rsid w:val="00340216"/>
    <w:rsid w:val="003411C2"/>
    <w:rsid w:val="00341B06"/>
    <w:rsid w:val="00342421"/>
    <w:rsid w:val="003426E8"/>
    <w:rsid w:val="0034327E"/>
    <w:rsid w:val="0034354B"/>
    <w:rsid w:val="00343B5E"/>
    <w:rsid w:val="0034402C"/>
    <w:rsid w:val="00344071"/>
    <w:rsid w:val="003456D0"/>
    <w:rsid w:val="003463F0"/>
    <w:rsid w:val="0034698B"/>
    <w:rsid w:val="00346C74"/>
    <w:rsid w:val="00350BFC"/>
    <w:rsid w:val="003511BB"/>
    <w:rsid w:val="00351A64"/>
    <w:rsid w:val="00351D67"/>
    <w:rsid w:val="003520A8"/>
    <w:rsid w:val="003525CA"/>
    <w:rsid w:val="00352FB6"/>
    <w:rsid w:val="00353205"/>
    <w:rsid w:val="003539BD"/>
    <w:rsid w:val="0035426C"/>
    <w:rsid w:val="003549EA"/>
    <w:rsid w:val="00355110"/>
    <w:rsid w:val="00355DB4"/>
    <w:rsid w:val="00355F16"/>
    <w:rsid w:val="00357795"/>
    <w:rsid w:val="00360B1F"/>
    <w:rsid w:val="00360BBD"/>
    <w:rsid w:val="00361BA1"/>
    <w:rsid w:val="00362426"/>
    <w:rsid w:val="00362485"/>
    <w:rsid w:val="00362F50"/>
    <w:rsid w:val="00363BE0"/>
    <w:rsid w:val="00364712"/>
    <w:rsid w:val="00364A99"/>
    <w:rsid w:val="00364CFD"/>
    <w:rsid w:val="00364F23"/>
    <w:rsid w:val="003654E0"/>
    <w:rsid w:val="003660F7"/>
    <w:rsid w:val="00366410"/>
    <w:rsid w:val="00367724"/>
    <w:rsid w:val="00367736"/>
    <w:rsid w:val="00367774"/>
    <w:rsid w:val="003679A5"/>
    <w:rsid w:val="003679F0"/>
    <w:rsid w:val="003711DE"/>
    <w:rsid w:val="003713D6"/>
    <w:rsid w:val="00371F71"/>
    <w:rsid w:val="00372587"/>
    <w:rsid w:val="00372979"/>
    <w:rsid w:val="003739D3"/>
    <w:rsid w:val="00373DE8"/>
    <w:rsid w:val="00374423"/>
    <w:rsid w:val="00374A8B"/>
    <w:rsid w:val="00374F1E"/>
    <w:rsid w:val="0037577F"/>
    <w:rsid w:val="003760BE"/>
    <w:rsid w:val="003769FF"/>
    <w:rsid w:val="003777B1"/>
    <w:rsid w:val="00377B78"/>
    <w:rsid w:val="00377F7A"/>
    <w:rsid w:val="003807CD"/>
    <w:rsid w:val="00381525"/>
    <w:rsid w:val="003817F3"/>
    <w:rsid w:val="00381B69"/>
    <w:rsid w:val="003825E3"/>
    <w:rsid w:val="0038269C"/>
    <w:rsid w:val="00383083"/>
    <w:rsid w:val="003834BC"/>
    <w:rsid w:val="0038448C"/>
    <w:rsid w:val="003845DB"/>
    <w:rsid w:val="00384C05"/>
    <w:rsid w:val="00384CB9"/>
    <w:rsid w:val="003855B2"/>
    <w:rsid w:val="00385918"/>
    <w:rsid w:val="00386545"/>
    <w:rsid w:val="003870EA"/>
    <w:rsid w:val="003879B3"/>
    <w:rsid w:val="00387DCF"/>
    <w:rsid w:val="00390087"/>
    <w:rsid w:val="003900A0"/>
    <w:rsid w:val="0039033D"/>
    <w:rsid w:val="00390B9A"/>
    <w:rsid w:val="00390DAC"/>
    <w:rsid w:val="00391098"/>
    <w:rsid w:val="00391181"/>
    <w:rsid w:val="00392824"/>
    <w:rsid w:val="003936A1"/>
    <w:rsid w:val="00393E5D"/>
    <w:rsid w:val="00394183"/>
    <w:rsid w:val="00394186"/>
    <w:rsid w:val="00394BFC"/>
    <w:rsid w:val="00394D65"/>
    <w:rsid w:val="0039507B"/>
    <w:rsid w:val="00395141"/>
    <w:rsid w:val="003953A4"/>
    <w:rsid w:val="0039666D"/>
    <w:rsid w:val="00396CFC"/>
    <w:rsid w:val="003973C6"/>
    <w:rsid w:val="003978CE"/>
    <w:rsid w:val="00397B5D"/>
    <w:rsid w:val="00397C1F"/>
    <w:rsid w:val="00397F35"/>
    <w:rsid w:val="003A01BB"/>
    <w:rsid w:val="003A127A"/>
    <w:rsid w:val="003A1D4E"/>
    <w:rsid w:val="003A1DEE"/>
    <w:rsid w:val="003A1FDE"/>
    <w:rsid w:val="003A2451"/>
    <w:rsid w:val="003A3645"/>
    <w:rsid w:val="003A3A79"/>
    <w:rsid w:val="003A3B4D"/>
    <w:rsid w:val="003A3E86"/>
    <w:rsid w:val="003A432B"/>
    <w:rsid w:val="003A4C99"/>
    <w:rsid w:val="003A5039"/>
    <w:rsid w:val="003A57DD"/>
    <w:rsid w:val="003A5980"/>
    <w:rsid w:val="003A5B71"/>
    <w:rsid w:val="003A5C08"/>
    <w:rsid w:val="003A5ED3"/>
    <w:rsid w:val="003A5FA4"/>
    <w:rsid w:val="003A6558"/>
    <w:rsid w:val="003A6576"/>
    <w:rsid w:val="003A6598"/>
    <w:rsid w:val="003A69CD"/>
    <w:rsid w:val="003A6AAC"/>
    <w:rsid w:val="003A6E4F"/>
    <w:rsid w:val="003A6F54"/>
    <w:rsid w:val="003A723C"/>
    <w:rsid w:val="003A75FA"/>
    <w:rsid w:val="003B01B7"/>
    <w:rsid w:val="003B1A4C"/>
    <w:rsid w:val="003B1CD7"/>
    <w:rsid w:val="003B1F59"/>
    <w:rsid w:val="003B25A7"/>
    <w:rsid w:val="003B2DD2"/>
    <w:rsid w:val="003B3613"/>
    <w:rsid w:val="003B3E65"/>
    <w:rsid w:val="003B42D1"/>
    <w:rsid w:val="003B4690"/>
    <w:rsid w:val="003B4938"/>
    <w:rsid w:val="003B51B7"/>
    <w:rsid w:val="003B57EF"/>
    <w:rsid w:val="003B60FA"/>
    <w:rsid w:val="003B619A"/>
    <w:rsid w:val="003B6799"/>
    <w:rsid w:val="003B6AB1"/>
    <w:rsid w:val="003B6EAF"/>
    <w:rsid w:val="003B70DF"/>
    <w:rsid w:val="003B7548"/>
    <w:rsid w:val="003B7A5F"/>
    <w:rsid w:val="003C00AB"/>
    <w:rsid w:val="003C011E"/>
    <w:rsid w:val="003C0326"/>
    <w:rsid w:val="003C05CB"/>
    <w:rsid w:val="003C116E"/>
    <w:rsid w:val="003C1EBA"/>
    <w:rsid w:val="003C245B"/>
    <w:rsid w:val="003C24A7"/>
    <w:rsid w:val="003C2562"/>
    <w:rsid w:val="003C2AF7"/>
    <w:rsid w:val="003C2DC1"/>
    <w:rsid w:val="003C3051"/>
    <w:rsid w:val="003C3358"/>
    <w:rsid w:val="003C483B"/>
    <w:rsid w:val="003C5503"/>
    <w:rsid w:val="003C5993"/>
    <w:rsid w:val="003C5D18"/>
    <w:rsid w:val="003C5DF0"/>
    <w:rsid w:val="003C612F"/>
    <w:rsid w:val="003C64BB"/>
    <w:rsid w:val="003C7014"/>
    <w:rsid w:val="003C716D"/>
    <w:rsid w:val="003D01C4"/>
    <w:rsid w:val="003D0233"/>
    <w:rsid w:val="003D0E75"/>
    <w:rsid w:val="003D12AF"/>
    <w:rsid w:val="003D1917"/>
    <w:rsid w:val="003D1C68"/>
    <w:rsid w:val="003D1F24"/>
    <w:rsid w:val="003D34FE"/>
    <w:rsid w:val="003D38D4"/>
    <w:rsid w:val="003D4A24"/>
    <w:rsid w:val="003D58E5"/>
    <w:rsid w:val="003D5973"/>
    <w:rsid w:val="003D5BFE"/>
    <w:rsid w:val="003D71B6"/>
    <w:rsid w:val="003D7308"/>
    <w:rsid w:val="003D7F2E"/>
    <w:rsid w:val="003E025E"/>
    <w:rsid w:val="003E026F"/>
    <w:rsid w:val="003E05F6"/>
    <w:rsid w:val="003E0E06"/>
    <w:rsid w:val="003E0E49"/>
    <w:rsid w:val="003E15E1"/>
    <w:rsid w:val="003E253D"/>
    <w:rsid w:val="003E3621"/>
    <w:rsid w:val="003E3D05"/>
    <w:rsid w:val="003E4D34"/>
    <w:rsid w:val="003E4FEC"/>
    <w:rsid w:val="003E4FF7"/>
    <w:rsid w:val="003E7990"/>
    <w:rsid w:val="003F04F5"/>
    <w:rsid w:val="003F0CBD"/>
    <w:rsid w:val="003F2BB2"/>
    <w:rsid w:val="003F2C94"/>
    <w:rsid w:val="003F3915"/>
    <w:rsid w:val="003F525E"/>
    <w:rsid w:val="003F577A"/>
    <w:rsid w:val="003F5B16"/>
    <w:rsid w:val="003F5BC8"/>
    <w:rsid w:val="003F6410"/>
    <w:rsid w:val="003F6879"/>
    <w:rsid w:val="00400ECD"/>
    <w:rsid w:val="00401000"/>
    <w:rsid w:val="00401432"/>
    <w:rsid w:val="00402612"/>
    <w:rsid w:val="004027F9"/>
    <w:rsid w:val="004046D3"/>
    <w:rsid w:val="0040487B"/>
    <w:rsid w:val="004048A8"/>
    <w:rsid w:val="00404FB5"/>
    <w:rsid w:val="0040552A"/>
    <w:rsid w:val="00405657"/>
    <w:rsid w:val="00405C6C"/>
    <w:rsid w:val="00406457"/>
    <w:rsid w:val="00407C61"/>
    <w:rsid w:val="00407D2D"/>
    <w:rsid w:val="00410DB2"/>
    <w:rsid w:val="004111B7"/>
    <w:rsid w:val="00411BD0"/>
    <w:rsid w:val="004122F3"/>
    <w:rsid w:val="0041267F"/>
    <w:rsid w:val="00412F7C"/>
    <w:rsid w:val="004136F3"/>
    <w:rsid w:val="0041441E"/>
    <w:rsid w:val="0041495C"/>
    <w:rsid w:val="00414E22"/>
    <w:rsid w:val="004159D2"/>
    <w:rsid w:val="00415DFC"/>
    <w:rsid w:val="0041649E"/>
    <w:rsid w:val="00416E8E"/>
    <w:rsid w:val="00417CAD"/>
    <w:rsid w:val="00417F92"/>
    <w:rsid w:val="00420070"/>
    <w:rsid w:val="004204B0"/>
    <w:rsid w:val="00420FF5"/>
    <w:rsid w:val="00421D3C"/>
    <w:rsid w:val="00422412"/>
    <w:rsid w:val="004229A4"/>
    <w:rsid w:val="00422ACA"/>
    <w:rsid w:val="00423398"/>
    <w:rsid w:val="00423A01"/>
    <w:rsid w:val="00423EF0"/>
    <w:rsid w:val="00423FD1"/>
    <w:rsid w:val="0042430E"/>
    <w:rsid w:val="0042476A"/>
    <w:rsid w:val="004248CA"/>
    <w:rsid w:val="00424A5C"/>
    <w:rsid w:val="00424D7D"/>
    <w:rsid w:val="0042534B"/>
    <w:rsid w:val="004264A1"/>
    <w:rsid w:val="00426AB8"/>
    <w:rsid w:val="00426B3A"/>
    <w:rsid w:val="00426CA3"/>
    <w:rsid w:val="00427771"/>
    <w:rsid w:val="004326F5"/>
    <w:rsid w:val="00433243"/>
    <w:rsid w:val="00433E6C"/>
    <w:rsid w:val="004344E6"/>
    <w:rsid w:val="00434981"/>
    <w:rsid w:val="00434F44"/>
    <w:rsid w:val="00434F62"/>
    <w:rsid w:val="00435444"/>
    <w:rsid w:val="00436041"/>
    <w:rsid w:val="00436667"/>
    <w:rsid w:val="00436EDA"/>
    <w:rsid w:val="00437A85"/>
    <w:rsid w:val="00440887"/>
    <w:rsid w:val="00440E68"/>
    <w:rsid w:val="004413C3"/>
    <w:rsid w:val="004425FB"/>
    <w:rsid w:val="00442DB5"/>
    <w:rsid w:val="0044350E"/>
    <w:rsid w:val="00443A50"/>
    <w:rsid w:val="00444225"/>
    <w:rsid w:val="0044461D"/>
    <w:rsid w:val="0044571B"/>
    <w:rsid w:val="0044574B"/>
    <w:rsid w:val="004457B2"/>
    <w:rsid w:val="00446103"/>
    <w:rsid w:val="00447202"/>
    <w:rsid w:val="004474D1"/>
    <w:rsid w:val="00447743"/>
    <w:rsid w:val="00447B7C"/>
    <w:rsid w:val="00450716"/>
    <w:rsid w:val="00450D92"/>
    <w:rsid w:val="004511F8"/>
    <w:rsid w:val="004512D7"/>
    <w:rsid w:val="004520CB"/>
    <w:rsid w:val="00452680"/>
    <w:rsid w:val="0045366A"/>
    <w:rsid w:val="00453A16"/>
    <w:rsid w:val="00453B85"/>
    <w:rsid w:val="00453D51"/>
    <w:rsid w:val="004548FB"/>
    <w:rsid w:val="0045525B"/>
    <w:rsid w:val="00456CC4"/>
    <w:rsid w:val="00457357"/>
    <w:rsid w:val="00457566"/>
    <w:rsid w:val="00457C47"/>
    <w:rsid w:val="004613DC"/>
    <w:rsid w:val="00461443"/>
    <w:rsid w:val="00461CA8"/>
    <w:rsid w:val="004621ED"/>
    <w:rsid w:val="00462B0E"/>
    <w:rsid w:val="004635A2"/>
    <w:rsid w:val="00463FF6"/>
    <w:rsid w:val="004641B5"/>
    <w:rsid w:val="00464FE2"/>
    <w:rsid w:val="0046528C"/>
    <w:rsid w:val="004652DB"/>
    <w:rsid w:val="004656C2"/>
    <w:rsid w:val="0046762E"/>
    <w:rsid w:val="004679DA"/>
    <w:rsid w:val="004703BA"/>
    <w:rsid w:val="0047072F"/>
    <w:rsid w:val="0047087E"/>
    <w:rsid w:val="00470B87"/>
    <w:rsid w:val="00471857"/>
    <w:rsid w:val="004720B1"/>
    <w:rsid w:val="00472480"/>
    <w:rsid w:val="00472544"/>
    <w:rsid w:val="00472D92"/>
    <w:rsid w:val="00473592"/>
    <w:rsid w:val="004738FC"/>
    <w:rsid w:val="004739A5"/>
    <w:rsid w:val="004740EE"/>
    <w:rsid w:val="004747E7"/>
    <w:rsid w:val="00474829"/>
    <w:rsid w:val="00474C31"/>
    <w:rsid w:val="00475034"/>
    <w:rsid w:val="0047595E"/>
    <w:rsid w:val="004768F2"/>
    <w:rsid w:val="00476AF3"/>
    <w:rsid w:val="00477038"/>
    <w:rsid w:val="004770A3"/>
    <w:rsid w:val="0048132D"/>
    <w:rsid w:val="004814FA"/>
    <w:rsid w:val="0048319E"/>
    <w:rsid w:val="00483433"/>
    <w:rsid w:val="00483B94"/>
    <w:rsid w:val="0048430A"/>
    <w:rsid w:val="00484B85"/>
    <w:rsid w:val="00485124"/>
    <w:rsid w:val="004856EC"/>
    <w:rsid w:val="004861A6"/>
    <w:rsid w:val="00486B15"/>
    <w:rsid w:val="004876CB"/>
    <w:rsid w:val="00487A45"/>
    <w:rsid w:val="004906FB"/>
    <w:rsid w:val="00490C27"/>
    <w:rsid w:val="004911C3"/>
    <w:rsid w:val="00491653"/>
    <w:rsid w:val="004917CB"/>
    <w:rsid w:val="00491DC2"/>
    <w:rsid w:val="00492B31"/>
    <w:rsid w:val="00492F3C"/>
    <w:rsid w:val="00493239"/>
    <w:rsid w:val="004934D5"/>
    <w:rsid w:val="0049461C"/>
    <w:rsid w:val="00494954"/>
    <w:rsid w:val="00495F09"/>
    <w:rsid w:val="004961FF"/>
    <w:rsid w:val="004963D3"/>
    <w:rsid w:val="00496C45"/>
    <w:rsid w:val="00496C6B"/>
    <w:rsid w:val="00496E0F"/>
    <w:rsid w:val="00497117"/>
    <w:rsid w:val="0049712E"/>
    <w:rsid w:val="00497D93"/>
    <w:rsid w:val="004A07B6"/>
    <w:rsid w:val="004A0B94"/>
    <w:rsid w:val="004A16E1"/>
    <w:rsid w:val="004A17C7"/>
    <w:rsid w:val="004A227E"/>
    <w:rsid w:val="004A23FC"/>
    <w:rsid w:val="004A45D5"/>
    <w:rsid w:val="004A463F"/>
    <w:rsid w:val="004A6044"/>
    <w:rsid w:val="004A68CD"/>
    <w:rsid w:val="004A71C7"/>
    <w:rsid w:val="004A76D8"/>
    <w:rsid w:val="004B0C1F"/>
    <w:rsid w:val="004B11F5"/>
    <w:rsid w:val="004B1935"/>
    <w:rsid w:val="004B1C0B"/>
    <w:rsid w:val="004B238D"/>
    <w:rsid w:val="004B2E8B"/>
    <w:rsid w:val="004B317F"/>
    <w:rsid w:val="004B329E"/>
    <w:rsid w:val="004B4957"/>
    <w:rsid w:val="004B4B8F"/>
    <w:rsid w:val="004B4BE3"/>
    <w:rsid w:val="004B5710"/>
    <w:rsid w:val="004B7090"/>
    <w:rsid w:val="004B7644"/>
    <w:rsid w:val="004C02FF"/>
    <w:rsid w:val="004C03AB"/>
    <w:rsid w:val="004C057D"/>
    <w:rsid w:val="004C0650"/>
    <w:rsid w:val="004C2488"/>
    <w:rsid w:val="004C2AC7"/>
    <w:rsid w:val="004C2FED"/>
    <w:rsid w:val="004C35EC"/>
    <w:rsid w:val="004C5AAF"/>
    <w:rsid w:val="004C6D3C"/>
    <w:rsid w:val="004C6FD3"/>
    <w:rsid w:val="004C7A3E"/>
    <w:rsid w:val="004C7AAB"/>
    <w:rsid w:val="004D0402"/>
    <w:rsid w:val="004D0694"/>
    <w:rsid w:val="004D0761"/>
    <w:rsid w:val="004D0D8B"/>
    <w:rsid w:val="004D105F"/>
    <w:rsid w:val="004D1459"/>
    <w:rsid w:val="004D1468"/>
    <w:rsid w:val="004D1BF0"/>
    <w:rsid w:val="004D1CF2"/>
    <w:rsid w:val="004D2002"/>
    <w:rsid w:val="004D2619"/>
    <w:rsid w:val="004D2AB3"/>
    <w:rsid w:val="004D2DC6"/>
    <w:rsid w:val="004D36B8"/>
    <w:rsid w:val="004D37D2"/>
    <w:rsid w:val="004D3E81"/>
    <w:rsid w:val="004D3EFC"/>
    <w:rsid w:val="004D4261"/>
    <w:rsid w:val="004D615E"/>
    <w:rsid w:val="004D681E"/>
    <w:rsid w:val="004D69A7"/>
    <w:rsid w:val="004D6A25"/>
    <w:rsid w:val="004D6F6D"/>
    <w:rsid w:val="004D7217"/>
    <w:rsid w:val="004D7A4C"/>
    <w:rsid w:val="004E0814"/>
    <w:rsid w:val="004E1CA2"/>
    <w:rsid w:val="004E23DE"/>
    <w:rsid w:val="004E34F7"/>
    <w:rsid w:val="004E3522"/>
    <w:rsid w:val="004E397B"/>
    <w:rsid w:val="004E49DA"/>
    <w:rsid w:val="004E5190"/>
    <w:rsid w:val="004E51B0"/>
    <w:rsid w:val="004E51CC"/>
    <w:rsid w:val="004E52E8"/>
    <w:rsid w:val="004E5B01"/>
    <w:rsid w:val="004E6158"/>
    <w:rsid w:val="004E63DA"/>
    <w:rsid w:val="004E68FE"/>
    <w:rsid w:val="004E6DD7"/>
    <w:rsid w:val="004E6E6E"/>
    <w:rsid w:val="004E71C8"/>
    <w:rsid w:val="004E72E3"/>
    <w:rsid w:val="004E7B34"/>
    <w:rsid w:val="004F01B3"/>
    <w:rsid w:val="004F03DF"/>
    <w:rsid w:val="004F0477"/>
    <w:rsid w:val="004F0577"/>
    <w:rsid w:val="004F0B5D"/>
    <w:rsid w:val="004F2032"/>
    <w:rsid w:val="004F2576"/>
    <w:rsid w:val="004F2B9A"/>
    <w:rsid w:val="004F2D52"/>
    <w:rsid w:val="004F3413"/>
    <w:rsid w:val="004F4DD4"/>
    <w:rsid w:val="004F4F3A"/>
    <w:rsid w:val="004F4FB6"/>
    <w:rsid w:val="004F5376"/>
    <w:rsid w:val="004F5469"/>
    <w:rsid w:val="004F558A"/>
    <w:rsid w:val="004F5E7E"/>
    <w:rsid w:val="004F5EC0"/>
    <w:rsid w:val="004F5EFD"/>
    <w:rsid w:val="004F6CC5"/>
    <w:rsid w:val="004F6DA8"/>
    <w:rsid w:val="004F7676"/>
    <w:rsid w:val="004F7774"/>
    <w:rsid w:val="004F7A67"/>
    <w:rsid w:val="00500E95"/>
    <w:rsid w:val="00501262"/>
    <w:rsid w:val="005012A3"/>
    <w:rsid w:val="00501764"/>
    <w:rsid w:val="005018D5"/>
    <w:rsid w:val="00501D6E"/>
    <w:rsid w:val="005023F4"/>
    <w:rsid w:val="0050262D"/>
    <w:rsid w:val="005026E6"/>
    <w:rsid w:val="00502EE0"/>
    <w:rsid w:val="005030B3"/>
    <w:rsid w:val="0050342D"/>
    <w:rsid w:val="00503690"/>
    <w:rsid w:val="005044DC"/>
    <w:rsid w:val="00504B45"/>
    <w:rsid w:val="00504D6C"/>
    <w:rsid w:val="00504E73"/>
    <w:rsid w:val="00505250"/>
    <w:rsid w:val="00505BFA"/>
    <w:rsid w:val="00506B3C"/>
    <w:rsid w:val="005072AF"/>
    <w:rsid w:val="005072D5"/>
    <w:rsid w:val="00510021"/>
    <w:rsid w:val="0051047A"/>
    <w:rsid w:val="00511BFD"/>
    <w:rsid w:val="00512400"/>
    <w:rsid w:val="00512F8A"/>
    <w:rsid w:val="00513526"/>
    <w:rsid w:val="005147B8"/>
    <w:rsid w:val="00514916"/>
    <w:rsid w:val="0051550E"/>
    <w:rsid w:val="00515EAF"/>
    <w:rsid w:val="005161E5"/>
    <w:rsid w:val="00517B0A"/>
    <w:rsid w:val="00517E7D"/>
    <w:rsid w:val="00517F14"/>
    <w:rsid w:val="0052020B"/>
    <w:rsid w:val="00521025"/>
    <w:rsid w:val="00521A8C"/>
    <w:rsid w:val="00521AE7"/>
    <w:rsid w:val="0052345D"/>
    <w:rsid w:val="00523527"/>
    <w:rsid w:val="00523A04"/>
    <w:rsid w:val="00524A1A"/>
    <w:rsid w:val="00524CA1"/>
    <w:rsid w:val="00525AF7"/>
    <w:rsid w:val="00525D73"/>
    <w:rsid w:val="00526517"/>
    <w:rsid w:val="00526ABE"/>
    <w:rsid w:val="005273D4"/>
    <w:rsid w:val="00527531"/>
    <w:rsid w:val="0052764F"/>
    <w:rsid w:val="005278DA"/>
    <w:rsid w:val="005279B8"/>
    <w:rsid w:val="00527E7A"/>
    <w:rsid w:val="00530877"/>
    <w:rsid w:val="0053107A"/>
    <w:rsid w:val="0053129A"/>
    <w:rsid w:val="00531BBD"/>
    <w:rsid w:val="00532810"/>
    <w:rsid w:val="00532881"/>
    <w:rsid w:val="005334B6"/>
    <w:rsid w:val="00534833"/>
    <w:rsid w:val="005355EC"/>
    <w:rsid w:val="00535B4F"/>
    <w:rsid w:val="00535B86"/>
    <w:rsid w:val="00535E12"/>
    <w:rsid w:val="005368A6"/>
    <w:rsid w:val="00537834"/>
    <w:rsid w:val="00537AFA"/>
    <w:rsid w:val="00537D21"/>
    <w:rsid w:val="005406FC"/>
    <w:rsid w:val="005412AC"/>
    <w:rsid w:val="00542A2B"/>
    <w:rsid w:val="005435EA"/>
    <w:rsid w:val="00543D9E"/>
    <w:rsid w:val="0054401D"/>
    <w:rsid w:val="00544C66"/>
    <w:rsid w:val="00544D6F"/>
    <w:rsid w:val="00545439"/>
    <w:rsid w:val="005464A9"/>
    <w:rsid w:val="005473F2"/>
    <w:rsid w:val="005500BF"/>
    <w:rsid w:val="005507F1"/>
    <w:rsid w:val="00550CF8"/>
    <w:rsid w:val="00551284"/>
    <w:rsid w:val="00551A0E"/>
    <w:rsid w:val="00551C14"/>
    <w:rsid w:val="0055296B"/>
    <w:rsid w:val="00552CEF"/>
    <w:rsid w:val="00552EB7"/>
    <w:rsid w:val="00553380"/>
    <w:rsid w:val="00553551"/>
    <w:rsid w:val="00553FC5"/>
    <w:rsid w:val="005554FF"/>
    <w:rsid w:val="00555BAE"/>
    <w:rsid w:val="00556902"/>
    <w:rsid w:val="00556BB0"/>
    <w:rsid w:val="005577A8"/>
    <w:rsid w:val="005579CC"/>
    <w:rsid w:val="00557AB9"/>
    <w:rsid w:val="00557FD7"/>
    <w:rsid w:val="00560212"/>
    <w:rsid w:val="005610A6"/>
    <w:rsid w:val="0056129C"/>
    <w:rsid w:val="00562994"/>
    <w:rsid w:val="00563111"/>
    <w:rsid w:val="00563882"/>
    <w:rsid w:val="005644F7"/>
    <w:rsid w:val="00564539"/>
    <w:rsid w:val="005648B6"/>
    <w:rsid w:val="00565176"/>
    <w:rsid w:val="00566394"/>
    <w:rsid w:val="00566CE5"/>
    <w:rsid w:val="00567783"/>
    <w:rsid w:val="0056779D"/>
    <w:rsid w:val="00570D5C"/>
    <w:rsid w:val="0057129E"/>
    <w:rsid w:val="00571A70"/>
    <w:rsid w:val="00572025"/>
    <w:rsid w:val="00572A2D"/>
    <w:rsid w:val="00573687"/>
    <w:rsid w:val="00574599"/>
    <w:rsid w:val="00574978"/>
    <w:rsid w:val="00574A0F"/>
    <w:rsid w:val="005754E4"/>
    <w:rsid w:val="00575EBF"/>
    <w:rsid w:val="00580183"/>
    <w:rsid w:val="00580522"/>
    <w:rsid w:val="00580B1C"/>
    <w:rsid w:val="005810A3"/>
    <w:rsid w:val="005811FC"/>
    <w:rsid w:val="0058133C"/>
    <w:rsid w:val="0058174D"/>
    <w:rsid w:val="005818B6"/>
    <w:rsid w:val="00581CFD"/>
    <w:rsid w:val="005827B6"/>
    <w:rsid w:val="00582F42"/>
    <w:rsid w:val="0058355C"/>
    <w:rsid w:val="0058369A"/>
    <w:rsid w:val="00583CCD"/>
    <w:rsid w:val="00584454"/>
    <w:rsid w:val="005844F7"/>
    <w:rsid w:val="0058474E"/>
    <w:rsid w:val="005855FB"/>
    <w:rsid w:val="00585EEA"/>
    <w:rsid w:val="0058668B"/>
    <w:rsid w:val="00586D2B"/>
    <w:rsid w:val="00587410"/>
    <w:rsid w:val="00587D54"/>
    <w:rsid w:val="00587EBD"/>
    <w:rsid w:val="00587FBA"/>
    <w:rsid w:val="00590E8E"/>
    <w:rsid w:val="00591037"/>
    <w:rsid w:val="005911A7"/>
    <w:rsid w:val="00591227"/>
    <w:rsid w:val="0059127C"/>
    <w:rsid w:val="00591A42"/>
    <w:rsid w:val="00591BF1"/>
    <w:rsid w:val="0059247F"/>
    <w:rsid w:val="00592BF7"/>
    <w:rsid w:val="00592E0A"/>
    <w:rsid w:val="00592FDB"/>
    <w:rsid w:val="00593082"/>
    <w:rsid w:val="005937CB"/>
    <w:rsid w:val="00593800"/>
    <w:rsid w:val="00593A61"/>
    <w:rsid w:val="00593B67"/>
    <w:rsid w:val="00593DBE"/>
    <w:rsid w:val="00593DF7"/>
    <w:rsid w:val="00595291"/>
    <w:rsid w:val="00595B59"/>
    <w:rsid w:val="00595C14"/>
    <w:rsid w:val="00596181"/>
    <w:rsid w:val="00596372"/>
    <w:rsid w:val="005968C8"/>
    <w:rsid w:val="00596BEF"/>
    <w:rsid w:val="00596BFE"/>
    <w:rsid w:val="00596FEB"/>
    <w:rsid w:val="00597442"/>
    <w:rsid w:val="005976C5"/>
    <w:rsid w:val="0059793A"/>
    <w:rsid w:val="00597FBC"/>
    <w:rsid w:val="005A059A"/>
    <w:rsid w:val="005A0EE1"/>
    <w:rsid w:val="005A1A52"/>
    <w:rsid w:val="005A1CEA"/>
    <w:rsid w:val="005A2509"/>
    <w:rsid w:val="005A3426"/>
    <w:rsid w:val="005A4BA1"/>
    <w:rsid w:val="005A4BB8"/>
    <w:rsid w:val="005A542B"/>
    <w:rsid w:val="005A58B6"/>
    <w:rsid w:val="005A650D"/>
    <w:rsid w:val="005A6683"/>
    <w:rsid w:val="005A682D"/>
    <w:rsid w:val="005A74E2"/>
    <w:rsid w:val="005A79C3"/>
    <w:rsid w:val="005B0B6D"/>
    <w:rsid w:val="005B1339"/>
    <w:rsid w:val="005B168F"/>
    <w:rsid w:val="005B18BA"/>
    <w:rsid w:val="005B1F15"/>
    <w:rsid w:val="005B2006"/>
    <w:rsid w:val="005B2810"/>
    <w:rsid w:val="005B294A"/>
    <w:rsid w:val="005B337A"/>
    <w:rsid w:val="005B3F49"/>
    <w:rsid w:val="005B4416"/>
    <w:rsid w:val="005B51E7"/>
    <w:rsid w:val="005B6425"/>
    <w:rsid w:val="005B72E3"/>
    <w:rsid w:val="005B7DE7"/>
    <w:rsid w:val="005C10B5"/>
    <w:rsid w:val="005C1103"/>
    <w:rsid w:val="005C1295"/>
    <w:rsid w:val="005C1E9D"/>
    <w:rsid w:val="005C236C"/>
    <w:rsid w:val="005C26DA"/>
    <w:rsid w:val="005C3691"/>
    <w:rsid w:val="005C378C"/>
    <w:rsid w:val="005C39F2"/>
    <w:rsid w:val="005C3B1B"/>
    <w:rsid w:val="005C3C6E"/>
    <w:rsid w:val="005C4BB6"/>
    <w:rsid w:val="005C546C"/>
    <w:rsid w:val="005C5819"/>
    <w:rsid w:val="005C6F8E"/>
    <w:rsid w:val="005C71A1"/>
    <w:rsid w:val="005C737D"/>
    <w:rsid w:val="005D0008"/>
    <w:rsid w:val="005D0220"/>
    <w:rsid w:val="005D0B6C"/>
    <w:rsid w:val="005D0ED0"/>
    <w:rsid w:val="005D2F63"/>
    <w:rsid w:val="005D3DC2"/>
    <w:rsid w:val="005D4663"/>
    <w:rsid w:val="005D47F0"/>
    <w:rsid w:val="005D4990"/>
    <w:rsid w:val="005D4C01"/>
    <w:rsid w:val="005D4D85"/>
    <w:rsid w:val="005D572F"/>
    <w:rsid w:val="005D5815"/>
    <w:rsid w:val="005D7DD6"/>
    <w:rsid w:val="005E0178"/>
    <w:rsid w:val="005E1450"/>
    <w:rsid w:val="005E147E"/>
    <w:rsid w:val="005E179E"/>
    <w:rsid w:val="005E1DD4"/>
    <w:rsid w:val="005E208A"/>
    <w:rsid w:val="005E22FA"/>
    <w:rsid w:val="005E26E0"/>
    <w:rsid w:val="005E37F8"/>
    <w:rsid w:val="005E5558"/>
    <w:rsid w:val="005E5985"/>
    <w:rsid w:val="005E6A1F"/>
    <w:rsid w:val="005E6AF6"/>
    <w:rsid w:val="005E6B83"/>
    <w:rsid w:val="005E73FE"/>
    <w:rsid w:val="005E7440"/>
    <w:rsid w:val="005E7768"/>
    <w:rsid w:val="005E7A03"/>
    <w:rsid w:val="005F0B79"/>
    <w:rsid w:val="005F0BEA"/>
    <w:rsid w:val="005F0E97"/>
    <w:rsid w:val="005F2373"/>
    <w:rsid w:val="005F344B"/>
    <w:rsid w:val="005F4907"/>
    <w:rsid w:val="005F5067"/>
    <w:rsid w:val="005F5185"/>
    <w:rsid w:val="005F542B"/>
    <w:rsid w:val="005F55F8"/>
    <w:rsid w:val="005F5607"/>
    <w:rsid w:val="005F5681"/>
    <w:rsid w:val="005F5783"/>
    <w:rsid w:val="005F6027"/>
    <w:rsid w:val="005F66BC"/>
    <w:rsid w:val="005F66E2"/>
    <w:rsid w:val="005F7326"/>
    <w:rsid w:val="005F760E"/>
    <w:rsid w:val="005F7CB8"/>
    <w:rsid w:val="005F7E4A"/>
    <w:rsid w:val="00600118"/>
    <w:rsid w:val="0060013F"/>
    <w:rsid w:val="00600398"/>
    <w:rsid w:val="0060131E"/>
    <w:rsid w:val="00601791"/>
    <w:rsid w:val="00601A4A"/>
    <w:rsid w:val="00601ED1"/>
    <w:rsid w:val="00602506"/>
    <w:rsid w:val="00602509"/>
    <w:rsid w:val="0060411C"/>
    <w:rsid w:val="0060469B"/>
    <w:rsid w:val="0060597B"/>
    <w:rsid w:val="006059B1"/>
    <w:rsid w:val="00606158"/>
    <w:rsid w:val="0060756D"/>
    <w:rsid w:val="00607DC2"/>
    <w:rsid w:val="0061014A"/>
    <w:rsid w:val="0061035E"/>
    <w:rsid w:val="00610659"/>
    <w:rsid w:val="006107C6"/>
    <w:rsid w:val="00610943"/>
    <w:rsid w:val="00610C09"/>
    <w:rsid w:val="006111CD"/>
    <w:rsid w:val="00611792"/>
    <w:rsid w:val="0061225A"/>
    <w:rsid w:val="0061239F"/>
    <w:rsid w:val="00614254"/>
    <w:rsid w:val="0061462C"/>
    <w:rsid w:val="00614804"/>
    <w:rsid w:val="00614FD7"/>
    <w:rsid w:val="00615E57"/>
    <w:rsid w:val="00616380"/>
    <w:rsid w:val="00616B2A"/>
    <w:rsid w:val="00617873"/>
    <w:rsid w:val="00617FCB"/>
    <w:rsid w:val="006200BA"/>
    <w:rsid w:val="00620518"/>
    <w:rsid w:val="00620648"/>
    <w:rsid w:val="006211E2"/>
    <w:rsid w:val="00621945"/>
    <w:rsid w:val="00622996"/>
    <w:rsid w:val="0062302A"/>
    <w:rsid w:val="00624252"/>
    <w:rsid w:val="006245DF"/>
    <w:rsid w:val="00625028"/>
    <w:rsid w:val="006250C4"/>
    <w:rsid w:val="006261D7"/>
    <w:rsid w:val="00626258"/>
    <w:rsid w:val="0062646C"/>
    <w:rsid w:val="00626931"/>
    <w:rsid w:val="00626A91"/>
    <w:rsid w:val="00626C82"/>
    <w:rsid w:val="00626F03"/>
    <w:rsid w:val="0062781F"/>
    <w:rsid w:val="00627A6A"/>
    <w:rsid w:val="0063019F"/>
    <w:rsid w:val="006303A5"/>
    <w:rsid w:val="00630D04"/>
    <w:rsid w:val="00630F44"/>
    <w:rsid w:val="00630FFC"/>
    <w:rsid w:val="00631F61"/>
    <w:rsid w:val="00632795"/>
    <w:rsid w:val="00632953"/>
    <w:rsid w:val="0063346C"/>
    <w:rsid w:val="00634B08"/>
    <w:rsid w:val="00634F81"/>
    <w:rsid w:val="0063518C"/>
    <w:rsid w:val="00635610"/>
    <w:rsid w:val="006359B5"/>
    <w:rsid w:val="0063667A"/>
    <w:rsid w:val="00637FA8"/>
    <w:rsid w:val="0064375C"/>
    <w:rsid w:val="00643959"/>
    <w:rsid w:val="00643A5B"/>
    <w:rsid w:val="00643C8B"/>
    <w:rsid w:val="00644341"/>
    <w:rsid w:val="00644DBB"/>
    <w:rsid w:val="00645A26"/>
    <w:rsid w:val="00646A76"/>
    <w:rsid w:val="00646CD1"/>
    <w:rsid w:val="00647DF6"/>
    <w:rsid w:val="006500BA"/>
    <w:rsid w:val="00650B3A"/>
    <w:rsid w:val="00650B45"/>
    <w:rsid w:val="00650DC0"/>
    <w:rsid w:val="006510C5"/>
    <w:rsid w:val="006517D0"/>
    <w:rsid w:val="00651851"/>
    <w:rsid w:val="00651F1C"/>
    <w:rsid w:val="006523A0"/>
    <w:rsid w:val="006539C4"/>
    <w:rsid w:val="00655CB9"/>
    <w:rsid w:val="006560F2"/>
    <w:rsid w:val="0065628B"/>
    <w:rsid w:val="00656307"/>
    <w:rsid w:val="006567FE"/>
    <w:rsid w:val="00656BCB"/>
    <w:rsid w:val="0065702D"/>
    <w:rsid w:val="00660947"/>
    <w:rsid w:val="00660B11"/>
    <w:rsid w:val="00660F4D"/>
    <w:rsid w:val="006618EA"/>
    <w:rsid w:val="00661A4C"/>
    <w:rsid w:val="0066218E"/>
    <w:rsid w:val="006627DA"/>
    <w:rsid w:val="0066336B"/>
    <w:rsid w:val="00663A2E"/>
    <w:rsid w:val="006641CA"/>
    <w:rsid w:val="00664DFC"/>
    <w:rsid w:val="00666B37"/>
    <w:rsid w:val="006674F2"/>
    <w:rsid w:val="006678C0"/>
    <w:rsid w:val="00667CC6"/>
    <w:rsid w:val="00667D32"/>
    <w:rsid w:val="00670042"/>
    <w:rsid w:val="0067063F"/>
    <w:rsid w:val="00672061"/>
    <w:rsid w:val="00672249"/>
    <w:rsid w:val="00672374"/>
    <w:rsid w:val="00672E79"/>
    <w:rsid w:val="006730F5"/>
    <w:rsid w:val="006734F3"/>
    <w:rsid w:val="006735D4"/>
    <w:rsid w:val="00673B87"/>
    <w:rsid w:val="00674C3D"/>
    <w:rsid w:val="00675876"/>
    <w:rsid w:val="00675AB9"/>
    <w:rsid w:val="00675FC2"/>
    <w:rsid w:val="006763A3"/>
    <w:rsid w:val="006767D6"/>
    <w:rsid w:val="00676B87"/>
    <w:rsid w:val="00676E92"/>
    <w:rsid w:val="0067786D"/>
    <w:rsid w:val="00677A8C"/>
    <w:rsid w:val="00677F98"/>
    <w:rsid w:val="006801FF"/>
    <w:rsid w:val="00682513"/>
    <w:rsid w:val="00682728"/>
    <w:rsid w:val="00682B71"/>
    <w:rsid w:val="00682CAF"/>
    <w:rsid w:val="0068316F"/>
    <w:rsid w:val="00683538"/>
    <w:rsid w:val="00683562"/>
    <w:rsid w:val="00683AD7"/>
    <w:rsid w:val="00683CFF"/>
    <w:rsid w:val="00684A43"/>
    <w:rsid w:val="00684B99"/>
    <w:rsid w:val="00685088"/>
    <w:rsid w:val="0068514F"/>
    <w:rsid w:val="0068596B"/>
    <w:rsid w:val="00686011"/>
    <w:rsid w:val="0068602A"/>
    <w:rsid w:val="00686766"/>
    <w:rsid w:val="006869C3"/>
    <w:rsid w:val="00686CEE"/>
    <w:rsid w:val="00687863"/>
    <w:rsid w:val="00687C55"/>
    <w:rsid w:val="00687E2A"/>
    <w:rsid w:val="00687FEB"/>
    <w:rsid w:val="00690EB8"/>
    <w:rsid w:val="006911DC"/>
    <w:rsid w:val="00691EB2"/>
    <w:rsid w:val="006924F4"/>
    <w:rsid w:val="00692CEC"/>
    <w:rsid w:val="0069304E"/>
    <w:rsid w:val="00695321"/>
    <w:rsid w:val="006956D1"/>
    <w:rsid w:val="00695E6A"/>
    <w:rsid w:val="00695F42"/>
    <w:rsid w:val="006968C0"/>
    <w:rsid w:val="00697581"/>
    <w:rsid w:val="006A0076"/>
    <w:rsid w:val="006A068E"/>
    <w:rsid w:val="006A17A7"/>
    <w:rsid w:val="006A1EE7"/>
    <w:rsid w:val="006A2AD0"/>
    <w:rsid w:val="006A2E2F"/>
    <w:rsid w:val="006A3163"/>
    <w:rsid w:val="006A38DA"/>
    <w:rsid w:val="006A5A67"/>
    <w:rsid w:val="006A64B6"/>
    <w:rsid w:val="006A6ACA"/>
    <w:rsid w:val="006A7303"/>
    <w:rsid w:val="006A75CE"/>
    <w:rsid w:val="006A79D5"/>
    <w:rsid w:val="006B06A6"/>
    <w:rsid w:val="006B1958"/>
    <w:rsid w:val="006B299E"/>
    <w:rsid w:val="006B2C78"/>
    <w:rsid w:val="006B3488"/>
    <w:rsid w:val="006B3F5E"/>
    <w:rsid w:val="006B3FDC"/>
    <w:rsid w:val="006B44B5"/>
    <w:rsid w:val="006B4A2C"/>
    <w:rsid w:val="006B4FD0"/>
    <w:rsid w:val="006B5848"/>
    <w:rsid w:val="006B5A01"/>
    <w:rsid w:val="006B5B31"/>
    <w:rsid w:val="006B5C64"/>
    <w:rsid w:val="006B717A"/>
    <w:rsid w:val="006B717C"/>
    <w:rsid w:val="006B78EC"/>
    <w:rsid w:val="006B7F08"/>
    <w:rsid w:val="006C0251"/>
    <w:rsid w:val="006C02B3"/>
    <w:rsid w:val="006C02B7"/>
    <w:rsid w:val="006C045A"/>
    <w:rsid w:val="006C0C30"/>
    <w:rsid w:val="006C172E"/>
    <w:rsid w:val="006C26CD"/>
    <w:rsid w:val="006C2A1C"/>
    <w:rsid w:val="006C2F28"/>
    <w:rsid w:val="006C3BDC"/>
    <w:rsid w:val="006C4DFC"/>
    <w:rsid w:val="006C5200"/>
    <w:rsid w:val="006C53FC"/>
    <w:rsid w:val="006C575D"/>
    <w:rsid w:val="006C5B59"/>
    <w:rsid w:val="006C6220"/>
    <w:rsid w:val="006C6839"/>
    <w:rsid w:val="006C7948"/>
    <w:rsid w:val="006C7CF2"/>
    <w:rsid w:val="006D02E8"/>
    <w:rsid w:val="006D045A"/>
    <w:rsid w:val="006D0A99"/>
    <w:rsid w:val="006D1231"/>
    <w:rsid w:val="006D1429"/>
    <w:rsid w:val="006D162E"/>
    <w:rsid w:val="006D1A2A"/>
    <w:rsid w:val="006D212C"/>
    <w:rsid w:val="006D327D"/>
    <w:rsid w:val="006D32B7"/>
    <w:rsid w:val="006D3A9B"/>
    <w:rsid w:val="006D3D8F"/>
    <w:rsid w:val="006D3FAF"/>
    <w:rsid w:val="006D492C"/>
    <w:rsid w:val="006D4C39"/>
    <w:rsid w:val="006D5053"/>
    <w:rsid w:val="006D5163"/>
    <w:rsid w:val="006D5E7A"/>
    <w:rsid w:val="006D6BA0"/>
    <w:rsid w:val="006D6D95"/>
    <w:rsid w:val="006D7237"/>
    <w:rsid w:val="006E02C3"/>
    <w:rsid w:val="006E068E"/>
    <w:rsid w:val="006E068F"/>
    <w:rsid w:val="006E0979"/>
    <w:rsid w:val="006E0AB7"/>
    <w:rsid w:val="006E1AAB"/>
    <w:rsid w:val="006E3151"/>
    <w:rsid w:val="006E3321"/>
    <w:rsid w:val="006E3E83"/>
    <w:rsid w:val="006E45D9"/>
    <w:rsid w:val="006E470B"/>
    <w:rsid w:val="006E516A"/>
    <w:rsid w:val="006E570B"/>
    <w:rsid w:val="006E5C33"/>
    <w:rsid w:val="006E627C"/>
    <w:rsid w:val="006E7135"/>
    <w:rsid w:val="006E7980"/>
    <w:rsid w:val="006E7CD7"/>
    <w:rsid w:val="006F007F"/>
    <w:rsid w:val="006F0CFE"/>
    <w:rsid w:val="006F14AD"/>
    <w:rsid w:val="006F14CC"/>
    <w:rsid w:val="006F1E15"/>
    <w:rsid w:val="006F241E"/>
    <w:rsid w:val="006F2A26"/>
    <w:rsid w:val="006F2E1B"/>
    <w:rsid w:val="006F3622"/>
    <w:rsid w:val="006F4844"/>
    <w:rsid w:val="006F5A4B"/>
    <w:rsid w:val="006F5AED"/>
    <w:rsid w:val="006F69E5"/>
    <w:rsid w:val="006F762F"/>
    <w:rsid w:val="007009AA"/>
    <w:rsid w:val="007009CD"/>
    <w:rsid w:val="00701951"/>
    <w:rsid w:val="0070236E"/>
    <w:rsid w:val="00702D49"/>
    <w:rsid w:val="00703A46"/>
    <w:rsid w:val="00704420"/>
    <w:rsid w:val="007048CB"/>
    <w:rsid w:val="00704E63"/>
    <w:rsid w:val="00704EE9"/>
    <w:rsid w:val="00705210"/>
    <w:rsid w:val="0070595C"/>
    <w:rsid w:val="0070646B"/>
    <w:rsid w:val="0070681C"/>
    <w:rsid w:val="00706867"/>
    <w:rsid w:val="00706B61"/>
    <w:rsid w:val="00706D6D"/>
    <w:rsid w:val="007075F9"/>
    <w:rsid w:val="00707AC0"/>
    <w:rsid w:val="0071041F"/>
    <w:rsid w:val="00710FE8"/>
    <w:rsid w:val="0071157A"/>
    <w:rsid w:val="00711711"/>
    <w:rsid w:val="0071181B"/>
    <w:rsid w:val="007118FA"/>
    <w:rsid w:val="00712812"/>
    <w:rsid w:val="00713114"/>
    <w:rsid w:val="0071381A"/>
    <w:rsid w:val="00713A0F"/>
    <w:rsid w:val="00713B22"/>
    <w:rsid w:val="00714644"/>
    <w:rsid w:val="007164F6"/>
    <w:rsid w:val="007177AA"/>
    <w:rsid w:val="00717F13"/>
    <w:rsid w:val="007211F2"/>
    <w:rsid w:val="007213C5"/>
    <w:rsid w:val="0072186F"/>
    <w:rsid w:val="00722152"/>
    <w:rsid w:val="00722727"/>
    <w:rsid w:val="00723380"/>
    <w:rsid w:val="00723729"/>
    <w:rsid w:val="00723EC8"/>
    <w:rsid w:val="00724174"/>
    <w:rsid w:val="0072566F"/>
    <w:rsid w:val="00725E31"/>
    <w:rsid w:val="00727A4A"/>
    <w:rsid w:val="00727B47"/>
    <w:rsid w:val="00730404"/>
    <w:rsid w:val="00730619"/>
    <w:rsid w:val="007314A7"/>
    <w:rsid w:val="00731FC9"/>
    <w:rsid w:val="0073220E"/>
    <w:rsid w:val="007322DA"/>
    <w:rsid w:val="007322E9"/>
    <w:rsid w:val="0073245C"/>
    <w:rsid w:val="0073346A"/>
    <w:rsid w:val="00733BF1"/>
    <w:rsid w:val="00733CB2"/>
    <w:rsid w:val="00734357"/>
    <w:rsid w:val="00734672"/>
    <w:rsid w:val="007353E0"/>
    <w:rsid w:val="007357CF"/>
    <w:rsid w:val="0073609F"/>
    <w:rsid w:val="007362F4"/>
    <w:rsid w:val="00736682"/>
    <w:rsid w:val="0073735D"/>
    <w:rsid w:val="00737559"/>
    <w:rsid w:val="00737851"/>
    <w:rsid w:val="00737C9D"/>
    <w:rsid w:val="0074015A"/>
    <w:rsid w:val="00740225"/>
    <w:rsid w:val="0074036F"/>
    <w:rsid w:val="00740FD8"/>
    <w:rsid w:val="0074127D"/>
    <w:rsid w:val="007428EA"/>
    <w:rsid w:val="00742F24"/>
    <w:rsid w:val="0074342C"/>
    <w:rsid w:val="00743747"/>
    <w:rsid w:val="00743902"/>
    <w:rsid w:val="00743F25"/>
    <w:rsid w:val="007443D0"/>
    <w:rsid w:val="00745A7B"/>
    <w:rsid w:val="00746214"/>
    <w:rsid w:val="00746627"/>
    <w:rsid w:val="007505CF"/>
    <w:rsid w:val="00750C89"/>
    <w:rsid w:val="00750EA9"/>
    <w:rsid w:val="00751969"/>
    <w:rsid w:val="00751CA8"/>
    <w:rsid w:val="00751D28"/>
    <w:rsid w:val="00752402"/>
    <w:rsid w:val="007528DE"/>
    <w:rsid w:val="00753075"/>
    <w:rsid w:val="00753704"/>
    <w:rsid w:val="00753D60"/>
    <w:rsid w:val="00754F40"/>
    <w:rsid w:val="0075523D"/>
    <w:rsid w:val="007564DC"/>
    <w:rsid w:val="00756D34"/>
    <w:rsid w:val="00757292"/>
    <w:rsid w:val="0075742E"/>
    <w:rsid w:val="00760510"/>
    <w:rsid w:val="007608A0"/>
    <w:rsid w:val="007610FF"/>
    <w:rsid w:val="0076317E"/>
    <w:rsid w:val="007652B3"/>
    <w:rsid w:val="00765918"/>
    <w:rsid w:val="00766359"/>
    <w:rsid w:val="007663CB"/>
    <w:rsid w:val="007664BF"/>
    <w:rsid w:val="00767F88"/>
    <w:rsid w:val="0077018D"/>
    <w:rsid w:val="00770A89"/>
    <w:rsid w:val="00770BCD"/>
    <w:rsid w:val="0077107E"/>
    <w:rsid w:val="00771B3A"/>
    <w:rsid w:val="007736C3"/>
    <w:rsid w:val="00773751"/>
    <w:rsid w:val="00774061"/>
    <w:rsid w:val="00774F4D"/>
    <w:rsid w:val="007751F2"/>
    <w:rsid w:val="0077562E"/>
    <w:rsid w:val="007771E7"/>
    <w:rsid w:val="007773E1"/>
    <w:rsid w:val="00777837"/>
    <w:rsid w:val="00777A9B"/>
    <w:rsid w:val="00777BE1"/>
    <w:rsid w:val="00780D62"/>
    <w:rsid w:val="00781423"/>
    <w:rsid w:val="0078180F"/>
    <w:rsid w:val="00781879"/>
    <w:rsid w:val="00783083"/>
    <w:rsid w:val="00784117"/>
    <w:rsid w:val="00784118"/>
    <w:rsid w:val="00785023"/>
    <w:rsid w:val="007871AB"/>
    <w:rsid w:val="007875E4"/>
    <w:rsid w:val="007879DB"/>
    <w:rsid w:val="00787E9C"/>
    <w:rsid w:val="007908AE"/>
    <w:rsid w:val="00790E04"/>
    <w:rsid w:val="00791181"/>
    <w:rsid w:val="0079162B"/>
    <w:rsid w:val="0079179A"/>
    <w:rsid w:val="00791ED0"/>
    <w:rsid w:val="00791F2F"/>
    <w:rsid w:val="00792851"/>
    <w:rsid w:val="007931AB"/>
    <w:rsid w:val="00793934"/>
    <w:rsid w:val="00793A0D"/>
    <w:rsid w:val="00793C49"/>
    <w:rsid w:val="00793FBD"/>
    <w:rsid w:val="0079464E"/>
    <w:rsid w:val="00794A2C"/>
    <w:rsid w:val="00795152"/>
    <w:rsid w:val="0079524B"/>
    <w:rsid w:val="0079585A"/>
    <w:rsid w:val="0079751C"/>
    <w:rsid w:val="0079768C"/>
    <w:rsid w:val="00797A66"/>
    <w:rsid w:val="007A0F93"/>
    <w:rsid w:val="007A1919"/>
    <w:rsid w:val="007A199C"/>
    <w:rsid w:val="007A1B57"/>
    <w:rsid w:val="007A24BD"/>
    <w:rsid w:val="007A37D4"/>
    <w:rsid w:val="007A478C"/>
    <w:rsid w:val="007A6702"/>
    <w:rsid w:val="007A6833"/>
    <w:rsid w:val="007B07EC"/>
    <w:rsid w:val="007B0B4B"/>
    <w:rsid w:val="007B1D2B"/>
    <w:rsid w:val="007B29E7"/>
    <w:rsid w:val="007B2D72"/>
    <w:rsid w:val="007B2F6C"/>
    <w:rsid w:val="007B32BD"/>
    <w:rsid w:val="007B3939"/>
    <w:rsid w:val="007B458D"/>
    <w:rsid w:val="007B506D"/>
    <w:rsid w:val="007B54D9"/>
    <w:rsid w:val="007B55E9"/>
    <w:rsid w:val="007B751C"/>
    <w:rsid w:val="007B7DBD"/>
    <w:rsid w:val="007C01B6"/>
    <w:rsid w:val="007C1906"/>
    <w:rsid w:val="007C1B19"/>
    <w:rsid w:val="007C2918"/>
    <w:rsid w:val="007C2BF8"/>
    <w:rsid w:val="007C32CE"/>
    <w:rsid w:val="007C40E4"/>
    <w:rsid w:val="007C735D"/>
    <w:rsid w:val="007D0F9C"/>
    <w:rsid w:val="007D12E6"/>
    <w:rsid w:val="007D16C6"/>
    <w:rsid w:val="007D1B4C"/>
    <w:rsid w:val="007D2364"/>
    <w:rsid w:val="007D29A6"/>
    <w:rsid w:val="007D33BC"/>
    <w:rsid w:val="007D378F"/>
    <w:rsid w:val="007D3858"/>
    <w:rsid w:val="007D3E21"/>
    <w:rsid w:val="007D4048"/>
    <w:rsid w:val="007D4B2E"/>
    <w:rsid w:val="007D4F61"/>
    <w:rsid w:val="007D4FD7"/>
    <w:rsid w:val="007D62A7"/>
    <w:rsid w:val="007D6A4F"/>
    <w:rsid w:val="007D6ADD"/>
    <w:rsid w:val="007D70BC"/>
    <w:rsid w:val="007D7115"/>
    <w:rsid w:val="007D7702"/>
    <w:rsid w:val="007D78F0"/>
    <w:rsid w:val="007E0859"/>
    <w:rsid w:val="007E0973"/>
    <w:rsid w:val="007E0CEA"/>
    <w:rsid w:val="007E0E7B"/>
    <w:rsid w:val="007E120E"/>
    <w:rsid w:val="007E146C"/>
    <w:rsid w:val="007E1CCB"/>
    <w:rsid w:val="007E21FC"/>
    <w:rsid w:val="007E2251"/>
    <w:rsid w:val="007E2A0B"/>
    <w:rsid w:val="007E3046"/>
    <w:rsid w:val="007E31DD"/>
    <w:rsid w:val="007E528A"/>
    <w:rsid w:val="007E65F3"/>
    <w:rsid w:val="007E6A52"/>
    <w:rsid w:val="007F0BB9"/>
    <w:rsid w:val="007F0E1E"/>
    <w:rsid w:val="007F0E6C"/>
    <w:rsid w:val="007F0E9F"/>
    <w:rsid w:val="007F1244"/>
    <w:rsid w:val="007F1613"/>
    <w:rsid w:val="007F273C"/>
    <w:rsid w:val="007F3E0D"/>
    <w:rsid w:val="007F4520"/>
    <w:rsid w:val="007F5188"/>
    <w:rsid w:val="007F5E10"/>
    <w:rsid w:val="007F62EA"/>
    <w:rsid w:val="007F6649"/>
    <w:rsid w:val="007F7614"/>
    <w:rsid w:val="007F7D3F"/>
    <w:rsid w:val="00801506"/>
    <w:rsid w:val="0080168B"/>
    <w:rsid w:val="00802098"/>
    <w:rsid w:val="008023A0"/>
    <w:rsid w:val="008029C2"/>
    <w:rsid w:val="00804017"/>
    <w:rsid w:val="0080407D"/>
    <w:rsid w:val="008048F5"/>
    <w:rsid w:val="00804ACA"/>
    <w:rsid w:val="00805F46"/>
    <w:rsid w:val="008068D7"/>
    <w:rsid w:val="00807529"/>
    <w:rsid w:val="00810752"/>
    <w:rsid w:val="008121C8"/>
    <w:rsid w:val="00812306"/>
    <w:rsid w:val="00812454"/>
    <w:rsid w:val="008141ED"/>
    <w:rsid w:val="008156EC"/>
    <w:rsid w:val="008158BF"/>
    <w:rsid w:val="00816505"/>
    <w:rsid w:val="00816A55"/>
    <w:rsid w:val="00816EEF"/>
    <w:rsid w:val="008170B6"/>
    <w:rsid w:val="0081736F"/>
    <w:rsid w:val="008209B7"/>
    <w:rsid w:val="00820B6F"/>
    <w:rsid w:val="00820C50"/>
    <w:rsid w:val="00820D6D"/>
    <w:rsid w:val="0082115F"/>
    <w:rsid w:val="00821C02"/>
    <w:rsid w:val="00822512"/>
    <w:rsid w:val="00823205"/>
    <w:rsid w:val="00823D02"/>
    <w:rsid w:val="008247DA"/>
    <w:rsid w:val="00824915"/>
    <w:rsid w:val="00824997"/>
    <w:rsid w:val="00824CC9"/>
    <w:rsid w:val="008253A1"/>
    <w:rsid w:val="008253AB"/>
    <w:rsid w:val="0082598F"/>
    <w:rsid w:val="00825B55"/>
    <w:rsid w:val="008264A9"/>
    <w:rsid w:val="0082675B"/>
    <w:rsid w:val="008271AF"/>
    <w:rsid w:val="008277F4"/>
    <w:rsid w:val="008278AF"/>
    <w:rsid w:val="00830814"/>
    <w:rsid w:val="00831166"/>
    <w:rsid w:val="00831726"/>
    <w:rsid w:val="00831E85"/>
    <w:rsid w:val="00831EDD"/>
    <w:rsid w:val="0083240D"/>
    <w:rsid w:val="00832C5F"/>
    <w:rsid w:val="00833479"/>
    <w:rsid w:val="00833C74"/>
    <w:rsid w:val="00833E99"/>
    <w:rsid w:val="0083452E"/>
    <w:rsid w:val="008357E1"/>
    <w:rsid w:val="00835959"/>
    <w:rsid w:val="00835A5B"/>
    <w:rsid w:val="00835C9B"/>
    <w:rsid w:val="0083648A"/>
    <w:rsid w:val="008365CB"/>
    <w:rsid w:val="00836673"/>
    <w:rsid w:val="00836C99"/>
    <w:rsid w:val="00836F67"/>
    <w:rsid w:val="008377C2"/>
    <w:rsid w:val="0083795B"/>
    <w:rsid w:val="008379A6"/>
    <w:rsid w:val="00837A0E"/>
    <w:rsid w:val="00837DCE"/>
    <w:rsid w:val="00840C79"/>
    <w:rsid w:val="008422D3"/>
    <w:rsid w:val="00842424"/>
    <w:rsid w:val="00842624"/>
    <w:rsid w:val="008428B8"/>
    <w:rsid w:val="00842C8D"/>
    <w:rsid w:val="00843209"/>
    <w:rsid w:val="00843688"/>
    <w:rsid w:val="008436C2"/>
    <w:rsid w:val="0084408D"/>
    <w:rsid w:val="00844166"/>
    <w:rsid w:val="008455DA"/>
    <w:rsid w:val="00845603"/>
    <w:rsid w:val="008459F1"/>
    <w:rsid w:val="00846331"/>
    <w:rsid w:val="00846A03"/>
    <w:rsid w:val="00846C23"/>
    <w:rsid w:val="00846E03"/>
    <w:rsid w:val="00846F91"/>
    <w:rsid w:val="00847290"/>
    <w:rsid w:val="008473CA"/>
    <w:rsid w:val="0084749E"/>
    <w:rsid w:val="00847C0E"/>
    <w:rsid w:val="00850297"/>
    <w:rsid w:val="00850397"/>
    <w:rsid w:val="008505D4"/>
    <w:rsid w:val="008514CD"/>
    <w:rsid w:val="00851F1A"/>
    <w:rsid w:val="00852DC7"/>
    <w:rsid w:val="00852E8B"/>
    <w:rsid w:val="0085324A"/>
    <w:rsid w:val="00853276"/>
    <w:rsid w:val="0085354A"/>
    <w:rsid w:val="0085362B"/>
    <w:rsid w:val="008539CD"/>
    <w:rsid w:val="00853CB5"/>
    <w:rsid w:val="00854707"/>
    <w:rsid w:val="00854922"/>
    <w:rsid w:val="008549B7"/>
    <w:rsid w:val="00854CDE"/>
    <w:rsid w:val="00854EE8"/>
    <w:rsid w:val="008554C1"/>
    <w:rsid w:val="00855519"/>
    <w:rsid w:val="0085574B"/>
    <w:rsid w:val="00856224"/>
    <w:rsid w:val="008564AB"/>
    <w:rsid w:val="00857B52"/>
    <w:rsid w:val="0086031E"/>
    <w:rsid w:val="0086086B"/>
    <w:rsid w:val="00860B1B"/>
    <w:rsid w:val="0086225D"/>
    <w:rsid w:val="008634B0"/>
    <w:rsid w:val="0086412E"/>
    <w:rsid w:val="00864672"/>
    <w:rsid w:val="00864713"/>
    <w:rsid w:val="0086589B"/>
    <w:rsid w:val="00865C83"/>
    <w:rsid w:val="00866950"/>
    <w:rsid w:val="0086760C"/>
    <w:rsid w:val="00867B5C"/>
    <w:rsid w:val="00867CB3"/>
    <w:rsid w:val="00867CE6"/>
    <w:rsid w:val="00870305"/>
    <w:rsid w:val="008705AF"/>
    <w:rsid w:val="00870E63"/>
    <w:rsid w:val="00871848"/>
    <w:rsid w:val="00871BE1"/>
    <w:rsid w:val="00873409"/>
    <w:rsid w:val="00874487"/>
    <w:rsid w:val="008744E1"/>
    <w:rsid w:val="0087462F"/>
    <w:rsid w:val="00874AD2"/>
    <w:rsid w:val="008753FE"/>
    <w:rsid w:val="008755BF"/>
    <w:rsid w:val="00875D34"/>
    <w:rsid w:val="00876515"/>
    <w:rsid w:val="00876EA4"/>
    <w:rsid w:val="0087757C"/>
    <w:rsid w:val="0088002D"/>
    <w:rsid w:val="00880165"/>
    <w:rsid w:val="008809E0"/>
    <w:rsid w:val="00880A2B"/>
    <w:rsid w:val="008819C8"/>
    <w:rsid w:val="00882638"/>
    <w:rsid w:val="008828E8"/>
    <w:rsid w:val="008829A6"/>
    <w:rsid w:val="0088395A"/>
    <w:rsid w:val="00883DB8"/>
    <w:rsid w:val="008840E5"/>
    <w:rsid w:val="008846E5"/>
    <w:rsid w:val="00884CED"/>
    <w:rsid w:val="00885139"/>
    <w:rsid w:val="00885771"/>
    <w:rsid w:val="00885897"/>
    <w:rsid w:val="00885D43"/>
    <w:rsid w:val="008869DB"/>
    <w:rsid w:val="00886B58"/>
    <w:rsid w:val="00886DE8"/>
    <w:rsid w:val="008872EC"/>
    <w:rsid w:val="00887BF5"/>
    <w:rsid w:val="00887E30"/>
    <w:rsid w:val="00890893"/>
    <w:rsid w:val="00890FCC"/>
    <w:rsid w:val="008915AE"/>
    <w:rsid w:val="008915F6"/>
    <w:rsid w:val="00891F15"/>
    <w:rsid w:val="008922CC"/>
    <w:rsid w:val="008922CD"/>
    <w:rsid w:val="008926E7"/>
    <w:rsid w:val="008928D9"/>
    <w:rsid w:val="008937FD"/>
    <w:rsid w:val="0089451F"/>
    <w:rsid w:val="00895515"/>
    <w:rsid w:val="008966B0"/>
    <w:rsid w:val="0089774E"/>
    <w:rsid w:val="0089796F"/>
    <w:rsid w:val="00897C94"/>
    <w:rsid w:val="008A0232"/>
    <w:rsid w:val="008A0619"/>
    <w:rsid w:val="008A06B2"/>
    <w:rsid w:val="008A09C9"/>
    <w:rsid w:val="008A17BA"/>
    <w:rsid w:val="008A3CB3"/>
    <w:rsid w:val="008A45BC"/>
    <w:rsid w:val="008A4755"/>
    <w:rsid w:val="008A4A79"/>
    <w:rsid w:val="008A4C94"/>
    <w:rsid w:val="008A5857"/>
    <w:rsid w:val="008A5C1E"/>
    <w:rsid w:val="008A5CEE"/>
    <w:rsid w:val="008A5E57"/>
    <w:rsid w:val="008A618D"/>
    <w:rsid w:val="008A639D"/>
    <w:rsid w:val="008A6519"/>
    <w:rsid w:val="008A6794"/>
    <w:rsid w:val="008A6DDC"/>
    <w:rsid w:val="008A6F41"/>
    <w:rsid w:val="008A74B2"/>
    <w:rsid w:val="008B00D1"/>
    <w:rsid w:val="008B1968"/>
    <w:rsid w:val="008B22FE"/>
    <w:rsid w:val="008B254D"/>
    <w:rsid w:val="008B300D"/>
    <w:rsid w:val="008B379A"/>
    <w:rsid w:val="008B382D"/>
    <w:rsid w:val="008B3E78"/>
    <w:rsid w:val="008B45AE"/>
    <w:rsid w:val="008B4B62"/>
    <w:rsid w:val="008B660F"/>
    <w:rsid w:val="008B725E"/>
    <w:rsid w:val="008B741D"/>
    <w:rsid w:val="008C0C61"/>
    <w:rsid w:val="008C0D2A"/>
    <w:rsid w:val="008C1333"/>
    <w:rsid w:val="008C1635"/>
    <w:rsid w:val="008C1C6C"/>
    <w:rsid w:val="008C20A6"/>
    <w:rsid w:val="008C2DF1"/>
    <w:rsid w:val="008C305E"/>
    <w:rsid w:val="008C3442"/>
    <w:rsid w:val="008C41B0"/>
    <w:rsid w:val="008C4DE7"/>
    <w:rsid w:val="008C56D9"/>
    <w:rsid w:val="008C5C42"/>
    <w:rsid w:val="008C5E02"/>
    <w:rsid w:val="008C60E9"/>
    <w:rsid w:val="008C64E5"/>
    <w:rsid w:val="008C77D1"/>
    <w:rsid w:val="008C7A9E"/>
    <w:rsid w:val="008D134C"/>
    <w:rsid w:val="008D166B"/>
    <w:rsid w:val="008D186B"/>
    <w:rsid w:val="008D1879"/>
    <w:rsid w:val="008D188D"/>
    <w:rsid w:val="008D1BFF"/>
    <w:rsid w:val="008D2DBD"/>
    <w:rsid w:val="008D37E5"/>
    <w:rsid w:val="008D3EF2"/>
    <w:rsid w:val="008D3F4C"/>
    <w:rsid w:val="008D417A"/>
    <w:rsid w:val="008D4B45"/>
    <w:rsid w:val="008D4BA0"/>
    <w:rsid w:val="008D4F63"/>
    <w:rsid w:val="008D50D7"/>
    <w:rsid w:val="008D511A"/>
    <w:rsid w:val="008D5BED"/>
    <w:rsid w:val="008D68FE"/>
    <w:rsid w:val="008D6F80"/>
    <w:rsid w:val="008E079C"/>
    <w:rsid w:val="008E092C"/>
    <w:rsid w:val="008E0BF3"/>
    <w:rsid w:val="008E14D3"/>
    <w:rsid w:val="008E215F"/>
    <w:rsid w:val="008E2699"/>
    <w:rsid w:val="008E2B97"/>
    <w:rsid w:val="008E2C26"/>
    <w:rsid w:val="008E2C45"/>
    <w:rsid w:val="008E2ED3"/>
    <w:rsid w:val="008E67A6"/>
    <w:rsid w:val="008E6CCD"/>
    <w:rsid w:val="008E6F17"/>
    <w:rsid w:val="008E7586"/>
    <w:rsid w:val="008E7819"/>
    <w:rsid w:val="008E7C70"/>
    <w:rsid w:val="008F0C10"/>
    <w:rsid w:val="008F0D14"/>
    <w:rsid w:val="008F1110"/>
    <w:rsid w:val="008F15B0"/>
    <w:rsid w:val="008F16F7"/>
    <w:rsid w:val="008F1E6E"/>
    <w:rsid w:val="008F2E68"/>
    <w:rsid w:val="008F2EA3"/>
    <w:rsid w:val="008F305C"/>
    <w:rsid w:val="008F3200"/>
    <w:rsid w:val="008F361C"/>
    <w:rsid w:val="008F3D49"/>
    <w:rsid w:val="008F4D17"/>
    <w:rsid w:val="008F561C"/>
    <w:rsid w:val="008F5FEA"/>
    <w:rsid w:val="008F7610"/>
    <w:rsid w:val="009004FB"/>
    <w:rsid w:val="00900F8E"/>
    <w:rsid w:val="00901327"/>
    <w:rsid w:val="00901967"/>
    <w:rsid w:val="00902710"/>
    <w:rsid w:val="00902743"/>
    <w:rsid w:val="00902935"/>
    <w:rsid w:val="00902989"/>
    <w:rsid w:val="0090310C"/>
    <w:rsid w:val="0090345E"/>
    <w:rsid w:val="00903975"/>
    <w:rsid w:val="00904188"/>
    <w:rsid w:val="009041D9"/>
    <w:rsid w:val="0090475A"/>
    <w:rsid w:val="00905720"/>
    <w:rsid w:val="00906050"/>
    <w:rsid w:val="00907164"/>
    <w:rsid w:val="0090746E"/>
    <w:rsid w:val="0091027F"/>
    <w:rsid w:val="009102EC"/>
    <w:rsid w:val="009112AB"/>
    <w:rsid w:val="009131D2"/>
    <w:rsid w:val="009140D0"/>
    <w:rsid w:val="00914193"/>
    <w:rsid w:val="00914C98"/>
    <w:rsid w:val="00914E16"/>
    <w:rsid w:val="00915070"/>
    <w:rsid w:val="00915865"/>
    <w:rsid w:val="00915896"/>
    <w:rsid w:val="00915ABC"/>
    <w:rsid w:val="009162F1"/>
    <w:rsid w:val="009163C9"/>
    <w:rsid w:val="0091689F"/>
    <w:rsid w:val="009169E9"/>
    <w:rsid w:val="00916D69"/>
    <w:rsid w:val="00916DA0"/>
    <w:rsid w:val="00917279"/>
    <w:rsid w:val="00917D0B"/>
    <w:rsid w:val="009202E6"/>
    <w:rsid w:val="0092069E"/>
    <w:rsid w:val="00920B51"/>
    <w:rsid w:val="00920C82"/>
    <w:rsid w:val="00921B4A"/>
    <w:rsid w:val="00921E94"/>
    <w:rsid w:val="00922622"/>
    <w:rsid w:val="00922BF9"/>
    <w:rsid w:val="00922FE8"/>
    <w:rsid w:val="00923BA8"/>
    <w:rsid w:val="009247DA"/>
    <w:rsid w:val="009248B8"/>
    <w:rsid w:val="009250C6"/>
    <w:rsid w:val="009250EB"/>
    <w:rsid w:val="0092517E"/>
    <w:rsid w:val="0092522E"/>
    <w:rsid w:val="00925AB1"/>
    <w:rsid w:val="00926AD9"/>
    <w:rsid w:val="00927CD1"/>
    <w:rsid w:val="00927CDF"/>
    <w:rsid w:val="00930751"/>
    <w:rsid w:val="00930B62"/>
    <w:rsid w:val="009313B1"/>
    <w:rsid w:val="00931694"/>
    <w:rsid w:val="0093213A"/>
    <w:rsid w:val="009321F8"/>
    <w:rsid w:val="00933FDE"/>
    <w:rsid w:val="00934211"/>
    <w:rsid w:val="009345E4"/>
    <w:rsid w:val="0093527F"/>
    <w:rsid w:val="00935B38"/>
    <w:rsid w:val="00935B8D"/>
    <w:rsid w:val="00936088"/>
    <w:rsid w:val="009368A8"/>
    <w:rsid w:val="0093767B"/>
    <w:rsid w:val="00937C4C"/>
    <w:rsid w:val="009403A9"/>
    <w:rsid w:val="00940FF1"/>
    <w:rsid w:val="00941030"/>
    <w:rsid w:val="009417E6"/>
    <w:rsid w:val="009429E5"/>
    <w:rsid w:val="00942E71"/>
    <w:rsid w:val="0094361A"/>
    <w:rsid w:val="00943961"/>
    <w:rsid w:val="00944B13"/>
    <w:rsid w:val="00945B5A"/>
    <w:rsid w:val="00947EE3"/>
    <w:rsid w:val="00950738"/>
    <w:rsid w:val="00950A7F"/>
    <w:rsid w:val="0095193C"/>
    <w:rsid w:val="0095258F"/>
    <w:rsid w:val="00952E18"/>
    <w:rsid w:val="00953AC5"/>
    <w:rsid w:val="00953AE2"/>
    <w:rsid w:val="00954A16"/>
    <w:rsid w:val="00954FE3"/>
    <w:rsid w:val="00955E3C"/>
    <w:rsid w:val="00955F34"/>
    <w:rsid w:val="0095605D"/>
    <w:rsid w:val="00957C7D"/>
    <w:rsid w:val="00957D15"/>
    <w:rsid w:val="00957FF2"/>
    <w:rsid w:val="0096024B"/>
    <w:rsid w:val="00961AD1"/>
    <w:rsid w:val="00963F61"/>
    <w:rsid w:val="00964674"/>
    <w:rsid w:val="00964B70"/>
    <w:rsid w:val="009652E5"/>
    <w:rsid w:val="00965DD4"/>
    <w:rsid w:val="009661D7"/>
    <w:rsid w:val="00966866"/>
    <w:rsid w:val="009671F6"/>
    <w:rsid w:val="0096729C"/>
    <w:rsid w:val="009679D5"/>
    <w:rsid w:val="00970257"/>
    <w:rsid w:val="00971B09"/>
    <w:rsid w:val="00971BCF"/>
    <w:rsid w:val="00972377"/>
    <w:rsid w:val="00972E6A"/>
    <w:rsid w:val="00973E9E"/>
    <w:rsid w:val="00973F18"/>
    <w:rsid w:val="009749EF"/>
    <w:rsid w:val="00974C97"/>
    <w:rsid w:val="00974F24"/>
    <w:rsid w:val="00975293"/>
    <w:rsid w:val="00975596"/>
    <w:rsid w:val="009756A5"/>
    <w:rsid w:val="00976189"/>
    <w:rsid w:val="009773EF"/>
    <w:rsid w:val="00977F0F"/>
    <w:rsid w:val="0098053F"/>
    <w:rsid w:val="009806EC"/>
    <w:rsid w:val="00980B1B"/>
    <w:rsid w:val="00980D68"/>
    <w:rsid w:val="00981873"/>
    <w:rsid w:val="00982517"/>
    <w:rsid w:val="009825D8"/>
    <w:rsid w:val="00982E31"/>
    <w:rsid w:val="00983910"/>
    <w:rsid w:val="00983AB1"/>
    <w:rsid w:val="00984070"/>
    <w:rsid w:val="009841BF"/>
    <w:rsid w:val="009848C6"/>
    <w:rsid w:val="009848F0"/>
    <w:rsid w:val="009849B6"/>
    <w:rsid w:val="00984F61"/>
    <w:rsid w:val="00986104"/>
    <w:rsid w:val="009862C9"/>
    <w:rsid w:val="009874BF"/>
    <w:rsid w:val="00987794"/>
    <w:rsid w:val="0098782F"/>
    <w:rsid w:val="00987A22"/>
    <w:rsid w:val="00987D18"/>
    <w:rsid w:val="009905F4"/>
    <w:rsid w:val="00991363"/>
    <w:rsid w:val="009925C1"/>
    <w:rsid w:val="009935B1"/>
    <w:rsid w:val="009937BC"/>
    <w:rsid w:val="00995666"/>
    <w:rsid w:val="00995916"/>
    <w:rsid w:val="0099677F"/>
    <w:rsid w:val="00996C0A"/>
    <w:rsid w:val="00997DCC"/>
    <w:rsid w:val="009A019A"/>
    <w:rsid w:val="009A04C5"/>
    <w:rsid w:val="009A1431"/>
    <w:rsid w:val="009A1620"/>
    <w:rsid w:val="009A1C2B"/>
    <w:rsid w:val="009A284D"/>
    <w:rsid w:val="009A2E30"/>
    <w:rsid w:val="009A343B"/>
    <w:rsid w:val="009A3AC5"/>
    <w:rsid w:val="009A3AFB"/>
    <w:rsid w:val="009A4161"/>
    <w:rsid w:val="009A57F8"/>
    <w:rsid w:val="009A5E57"/>
    <w:rsid w:val="009A6470"/>
    <w:rsid w:val="009A679D"/>
    <w:rsid w:val="009A78D0"/>
    <w:rsid w:val="009A7C3E"/>
    <w:rsid w:val="009B0002"/>
    <w:rsid w:val="009B03DE"/>
    <w:rsid w:val="009B09A9"/>
    <w:rsid w:val="009B0D6C"/>
    <w:rsid w:val="009B14E8"/>
    <w:rsid w:val="009B1FA8"/>
    <w:rsid w:val="009B25B2"/>
    <w:rsid w:val="009B2643"/>
    <w:rsid w:val="009B286C"/>
    <w:rsid w:val="009B3432"/>
    <w:rsid w:val="009B3D06"/>
    <w:rsid w:val="009B45F6"/>
    <w:rsid w:val="009B485D"/>
    <w:rsid w:val="009B4A2E"/>
    <w:rsid w:val="009B6EB9"/>
    <w:rsid w:val="009B7169"/>
    <w:rsid w:val="009B776E"/>
    <w:rsid w:val="009C0351"/>
    <w:rsid w:val="009C0727"/>
    <w:rsid w:val="009C1351"/>
    <w:rsid w:val="009C1386"/>
    <w:rsid w:val="009C1778"/>
    <w:rsid w:val="009C1C33"/>
    <w:rsid w:val="009C2DA9"/>
    <w:rsid w:val="009C548A"/>
    <w:rsid w:val="009C5EC5"/>
    <w:rsid w:val="009C65C6"/>
    <w:rsid w:val="009C66B9"/>
    <w:rsid w:val="009C77BB"/>
    <w:rsid w:val="009C7B47"/>
    <w:rsid w:val="009D0046"/>
    <w:rsid w:val="009D0669"/>
    <w:rsid w:val="009D089C"/>
    <w:rsid w:val="009D13F8"/>
    <w:rsid w:val="009D1DE4"/>
    <w:rsid w:val="009D1E93"/>
    <w:rsid w:val="009D1F37"/>
    <w:rsid w:val="009D2C25"/>
    <w:rsid w:val="009D3485"/>
    <w:rsid w:val="009D3771"/>
    <w:rsid w:val="009D3A79"/>
    <w:rsid w:val="009D3AF0"/>
    <w:rsid w:val="009D440F"/>
    <w:rsid w:val="009D6323"/>
    <w:rsid w:val="009D6605"/>
    <w:rsid w:val="009D6C8D"/>
    <w:rsid w:val="009D6CAA"/>
    <w:rsid w:val="009D70D7"/>
    <w:rsid w:val="009D70DC"/>
    <w:rsid w:val="009D7BDC"/>
    <w:rsid w:val="009D7D4D"/>
    <w:rsid w:val="009E05B0"/>
    <w:rsid w:val="009E113E"/>
    <w:rsid w:val="009E1E8A"/>
    <w:rsid w:val="009E20A7"/>
    <w:rsid w:val="009E2980"/>
    <w:rsid w:val="009E2A60"/>
    <w:rsid w:val="009E2EE8"/>
    <w:rsid w:val="009E3F26"/>
    <w:rsid w:val="009E3F44"/>
    <w:rsid w:val="009E43DD"/>
    <w:rsid w:val="009E4AF1"/>
    <w:rsid w:val="009E5568"/>
    <w:rsid w:val="009E5C56"/>
    <w:rsid w:val="009E6A70"/>
    <w:rsid w:val="009E7093"/>
    <w:rsid w:val="009E7C6D"/>
    <w:rsid w:val="009F02A9"/>
    <w:rsid w:val="009F05C8"/>
    <w:rsid w:val="009F0677"/>
    <w:rsid w:val="009F1891"/>
    <w:rsid w:val="009F1942"/>
    <w:rsid w:val="009F2E88"/>
    <w:rsid w:val="009F31E7"/>
    <w:rsid w:val="009F36A1"/>
    <w:rsid w:val="009F3850"/>
    <w:rsid w:val="009F4122"/>
    <w:rsid w:val="009F41CD"/>
    <w:rsid w:val="009F4419"/>
    <w:rsid w:val="009F4900"/>
    <w:rsid w:val="009F4E87"/>
    <w:rsid w:val="009F61F5"/>
    <w:rsid w:val="009F65B1"/>
    <w:rsid w:val="009F6C80"/>
    <w:rsid w:val="009F7DD8"/>
    <w:rsid w:val="009F7E9B"/>
    <w:rsid w:val="00A0033C"/>
    <w:rsid w:val="00A01027"/>
    <w:rsid w:val="00A014E0"/>
    <w:rsid w:val="00A0181F"/>
    <w:rsid w:val="00A0186B"/>
    <w:rsid w:val="00A01BCB"/>
    <w:rsid w:val="00A02716"/>
    <w:rsid w:val="00A02F86"/>
    <w:rsid w:val="00A03F14"/>
    <w:rsid w:val="00A04665"/>
    <w:rsid w:val="00A0491A"/>
    <w:rsid w:val="00A05586"/>
    <w:rsid w:val="00A06301"/>
    <w:rsid w:val="00A06346"/>
    <w:rsid w:val="00A06F8E"/>
    <w:rsid w:val="00A07000"/>
    <w:rsid w:val="00A10595"/>
    <w:rsid w:val="00A10806"/>
    <w:rsid w:val="00A108E3"/>
    <w:rsid w:val="00A10CE2"/>
    <w:rsid w:val="00A11292"/>
    <w:rsid w:val="00A115C6"/>
    <w:rsid w:val="00A1181B"/>
    <w:rsid w:val="00A12089"/>
    <w:rsid w:val="00A12436"/>
    <w:rsid w:val="00A1265A"/>
    <w:rsid w:val="00A13014"/>
    <w:rsid w:val="00A131D5"/>
    <w:rsid w:val="00A13624"/>
    <w:rsid w:val="00A138B3"/>
    <w:rsid w:val="00A142C4"/>
    <w:rsid w:val="00A14B60"/>
    <w:rsid w:val="00A1524A"/>
    <w:rsid w:val="00A15614"/>
    <w:rsid w:val="00A15783"/>
    <w:rsid w:val="00A15E51"/>
    <w:rsid w:val="00A15F3B"/>
    <w:rsid w:val="00A17331"/>
    <w:rsid w:val="00A1764D"/>
    <w:rsid w:val="00A1783F"/>
    <w:rsid w:val="00A17D6E"/>
    <w:rsid w:val="00A2024D"/>
    <w:rsid w:val="00A20595"/>
    <w:rsid w:val="00A220AA"/>
    <w:rsid w:val="00A223BC"/>
    <w:rsid w:val="00A22CBF"/>
    <w:rsid w:val="00A237C2"/>
    <w:rsid w:val="00A2404E"/>
    <w:rsid w:val="00A249A9"/>
    <w:rsid w:val="00A24D8F"/>
    <w:rsid w:val="00A25015"/>
    <w:rsid w:val="00A255A7"/>
    <w:rsid w:val="00A264BB"/>
    <w:rsid w:val="00A26858"/>
    <w:rsid w:val="00A26D0F"/>
    <w:rsid w:val="00A2718D"/>
    <w:rsid w:val="00A275EF"/>
    <w:rsid w:val="00A27BB0"/>
    <w:rsid w:val="00A3036D"/>
    <w:rsid w:val="00A31BCD"/>
    <w:rsid w:val="00A32276"/>
    <w:rsid w:val="00A3306F"/>
    <w:rsid w:val="00A330E5"/>
    <w:rsid w:val="00A331C6"/>
    <w:rsid w:val="00A332ED"/>
    <w:rsid w:val="00A3429B"/>
    <w:rsid w:val="00A34F58"/>
    <w:rsid w:val="00A35A32"/>
    <w:rsid w:val="00A35A42"/>
    <w:rsid w:val="00A35C04"/>
    <w:rsid w:val="00A36354"/>
    <w:rsid w:val="00A36888"/>
    <w:rsid w:val="00A36BB9"/>
    <w:rsid w:val="00A407B9"/>
    <w:rsid w:val="00A40997"/>
    <w:rsid w:val="00A40DD4"/>
    <w:rsid w:val="00A41D7A"/>
    <w:rsid w:val="00A4315C"/>
    <w:rsid w:val="00A43216"/>
    <w:rsid w:val="00A4324A"/>
    <w:rsid w:val="00A438B9"/>
    <w:rsid w:val="00A44D9B"/>
    <w:rsid w:val="00A45010"/>
    <w:rsid w:val="00A45068"/>
    <w:rsid w:val="00A456D0"/>
    <w:rsid w:val="00A46285"/>
    <w:rsid w:val="00A46381"/>
    <w:rsid w:val="00A465E6"/>
    <w:rsid w:val="00A47E1E"/>
    <w:rsid w:val="00A51154"/>
    <w:rsid w:val="00A51BA5"/>
    <w:rsid w:val="00A523FE"/>
    <w:rsid w:val="00A5255F"/>
    <w:rsid w:val="00A5283B"/>
    <w:rsid w:val="00A535BE"/>
    <w:rsid w:val="00A53651"/>
    <w:rsid w:val="00A53DB5"/>
    <w:rsid w:val="00A541FF"/>
    <w:rsid w:val="00A54DA3"/>
    <w:rsid w:val="00A54E0C"/>
    <w:rsid w:val="00A553C3"/>
    <w:rsid w:val="00A554D9"/>
    <w:rsid w:val="00A55ACA"/>
    <w:rsid w:val="00A5626C"/>
    <w:rsid w:val="00A56314"/>
    <w:rsid w:val="00A566E0"/>
    <w:rsid w:val="00A566E3"/>
    <w:rsid w:val="00A56E39"/>
    <w:rsid w:val="00A5789F"/>
    <w:rsid w:val="00A57E2A"/>
    <w:rsid w:val="00A6192D"/>
    <w:rsid w:val="00A61F99"/>
    <w:rsid w:val="00A620C3"/>
    <w:rsid w:val="00A62A38"/>
    <w:rsid w:val="00A62B59"/>
    <w:rsid w:val="00A62D04"/>
    <w:rsid w:val="00A62EA5"/>
    <w:rsid w:val="00A62F4D"/>
    <w:rsid w:val="00A63335"/>
    <w:rsid w:val="00A635FA"/>
    <w:rsid w:val="00A63CEA"/>
    <w:rsid w:val="00A6491B"/>
    <w:rsid w:val="00A64E33"/>
    <w:rsid w:val="00A65041"/>
    <w:rsid w:val="00A65B82"/>
    <w:rsid w:val="00A65BB6"/>
    <w:rsid w:val="00A66500"/>
    <w:rsid w:val="00A66564"/>
    <w:rsid w:val="00A67359"/>
    <w:rsid w:val="00A67796"/>
    <w:rsid w:val="00A677E7"/>
    <w:rsid w:val="00A7008F"/>
    <w:rsid w:val="00A703EF"/>
    <w:rsid w:val="00A70658"/>
    <w:rsid w:val="00A70FC5"/>
    <w:rsid w:val="00A71375"/>
    <w:rsid w:val="00A71A7C"/>
    <w:rsid w:val="00A7209D"/>
    <w:rsid w:val="00A72C6A"/>
    <w:rsid w:val="00A72F72"/>
    <w:rsid w:val="00A73A0F"/>
    <w:rsid w:val="00A748BF"/>
    <w:rsid w:val="00A7521F"/>
    <w:rsid w:val="00A75F3F"/>
    <w:rsid w:val="00A76A39"/>
    <w:rsid w:val="00A7768F"/>
    <w:rsid w:val="00A77F8E"/>
    <w:rsid w:val="00A8188A"/>
    <w:rsid w:val="00A81B15"/>
    <w:rsid w:val="00A82937"/>
    <w:rsid w:val="00A829DD"/>
    <w:rsid w:val="00A82AA8"/>
    <w:rsid w:val="00A82F86"/>
    <w:rsid w:val="00A83274"/>
    <w:rsid w:val="00A83744"/>
    <w:rsid w:val="00A84072"/>
    <w:rsid w:val="00A84782"/>
    <w:rsid w:val="00A84E1D"/>
    <w:rsid w:val="00A84F36"/>
    <w:rsid w:val="00A852D8"/>
    <w:rsid w:val="00A85DBC"/>
    <w:rsid w:val="00A86C59"/>
    <w:rsid w:val="00A8763B"/>
    <w:rsid w:val="00A9034B"/>
    <w:rsid w:val="00A90B88"/>
    <w:rsid w:val="00A90F6A"/>
    <w:rsid w:val="00A91B4B"/>
    <w:rsid w:val="00A91C24"/>
    <w:rsid w:val="00A91FC5"/>
    <w:rsid w:val="00A924D2"/>
    <w:rsid w:val="00A92763"/>
    <w:rsid w:val="00A92786"/>
    <w:rsid w:val="00A9354F"/>
    <w:rsid w:val="00A94919"/>
    <w:rsid w:val="00A949C5"/>
    <w:rsid w:val="00A94C17"/>
    <w:rsid w:val="00A96338"/>
    <w:rsid w:val="00A96638"/>
    <w:rsid w:val="00A96754"/>
    <w:rsid w:val="00A96A65"/>
    <w:rsid w:val="00A96C01"/>
    <w:rsid w:val="00A97373"/>
    <w:rsid w:val="00A9739D"/>
    <w:rsid w:val="00A97642"/>
    <w:rsid w:val="00A97789"/>
    <w:rsid w:val="00AA0704"/>
    <w:rsid w:val="00AA0B1D"/>
    <w:rsid w:val="00AA127E"/>
    <w:rsid w:val="00AA1719"/>
    <w:rsid w:val="00AA293E"/>
    <w:rsid w:val="00AA2B3E"/>
    <w:rsid w:val="00AA3735"/>
    <w:rsid w:val="00AA39B5"/>
    <w:rsid w:val="00AA3AB3"/>
    <w:rsid w:val="00AA3F87"/>
    <w:rsid w:val="00AA4586"/>
    <w:rsid w:val="00AA45AB"/>
    <w:rsid w:val="00AA53E1"/>
    <w:rsid w:val="00AA5C46"/>
    <w:rsid w:val="00AA5EFC"/>
    <w:rsid w:val="00AA61F0"/>
    <w:rsid w:val="00AA63BB"/>
    <w:rsid w:val="00AA6412"/>
    <w:rsid w:val="00AA64F1"/>
    <w:rsid w:val="00AA7285"/>
    <w:rsid w:val="00AA7E8B"/>
    <w:rsid w:val="00AA7FBD"/>
    <w:rsid w:val="00AA7FF5"/>
    <w:rsid w:val="00AB0692"/>
    <w:rsid w:val="00AB06CC"/>
    <w:rsid w:val="00AB0DED"/>
    <w:rsid w:val="00AB141C"/>
    <w:rsid w:val="00AB2065"/>
    <w:rsid w:val="00AB3AF1"/>
    <w:rsid w:val="00AB4543"/>
    <w:rsid w:val="00AB5AF4"/>
    <w:rsid w:val="00AB5D12"/>
    <w:rsid w:val="00AB636B"/>
    <w:rsid w:val="00AB6913"/>
    <w:rsid w:val="00AB6E69"/>
    <w:rsid w:val="00AB7970"/>
    <w:rsid w:val="00AB7F6E"/>
    <w:rsid w:val="00AB7F87"/>
    <w:rsid w:val="00AC07E9"/>
    <w:rsid w:val="00AC0A4D"/>
    <w:rsid w:val="00AC0B1D"/>
    <w:rsid w:val="00AC0D98"/>
    <w:rsid w:val="00AC1341"/>
    <w:rsid w:val="00AC1C80"/>
    <w:rsid w:val="00AC1DE0"/>
    <w:rsid w:val="00AC21DD"/>
    <w:rsid w:val="00AC256A"/>
    <w:rsid w:val="00AC2E02"/>
    <w:rsid w:val="00AC3924"/>
    <w:rsid w:val="00AC451A"/>
    <w:rsid w:val="00AC4ACA"/>
    <w:rsid w:val="00AC4C0B"/>
    <w:rsid w:val="00AC4F92"/>
    <w:rsid w:val="00AC5B2C"/>
    <w:rsid w:val="00AC72D8"/>
    <w:rsid w:val="00AC731B"/>
    <w:rsid w:val="00AC7EEE"/>
    <w:rsid w:val="00AD0B1A"/>
    <w:rsid w:val="00AD2171"/>
    <w:rsid w:val="00AD3AF2"/>
    <w:rsid w:val="00AD3DAC"/>
    <w:rsid w:val="00AD40A8"/>
    <w:rsid w:val="00AD48D2"/>
    <w:rsid w:val="00AD50AB"/>
    <w:rsid w:val="00AD586F"/>
    <w:rsid w:val="00AD5BA9"/>
    <w:rsid w:val="00AD71F1"/>
    <w:rsid w:val="00AE07A6"/>
    <w:rsid w:val="00AE0F40"/>
    <w:rsid w:val="00AE1E05"/>
    <w:rsid w:val="00AE2112"/>
    <w:rsid w:val="00AE22E6"/>
    <w:rsid w:val="00AE2A09"/>
    <w:rsid w:val="00AE2CA3"/>
    <w:rsid w:val="00AE2F9C"/>
    <w:rsid w:val="00AE38EB"/>
    <w:rsid w:val="00AE48A6"/>
    <w:rsid w:val="00AE4B88"/>
    <w:rsid w:val="00AE5499"/>
    <w:rsid w:val="00AE56B2"/>
    <w:rsid w:val="00AE5778"/>
    <w:rsid w:val="00AE60BF"/>
    <w:rsid w:val="00AE74B6"/>
    <w:rsid w:val="00AE78E1"/>
    <w:rsid w:val="00AF0399"/>
    <w:rsid w:val="00AF043E"/>
    <w:rsid w:val="00AF04BE"/>
    <w:rsid w:val="00AF0B60"/>
    <w:rsid w:val="00AF16E7"/>
    <w:rsid w:val="00AF1A12"/>
    <w:rsid w:val="00AF2290"/>
    <w:rsid w:val="00AF25F2"/>
    <w:rsid w:val="00AF2DAC"/>
    <w:rsid w:val="00AF3C65"/>
    <w:rsid w:val="00AF45C2"/>
    <w:rsid w:val="00AF5A64"/>
    <w:rsid w:val="00AF5BFA"/>
    <w:rsid w:val="00AF5CD1"/>
    <w:rsid w:val="00AF5F7B"/>
    <w:rsid w:val="00AF6C9C"/>
    <w:rsid w:val="00AF7835"/>
    <w:rsid w:val="00B00D97"/>
    <w:rsid w:val="00B01B30"/>
    <w:rsid w:val="00B02D35"/>
    <w:rsid w:val="00B02EE9"/>
    <w:rsid w:val="00B03077"/>
    <w:rsid w:val="00B03102"/>
    <w:rsid w:val="00B034C6"/>
    <w:rsid w:val="00B0445D"/>
    <w:rsid w:val="00B045BD"/>
    <w:rsid w:val="00B062A4"/>
    <w:rsid w:val="00B06432"/>
    <w:rsid w:val="00B10D78"/>
    <w:rsid w:val="00B11125"/>
    <w:rsid w:val="00B111B8"/>
    <w:rsid w:val="00B11E75"/>
    <w:rsid w:val="00B11F53"/>
    <w:rsid w:val="00B12211"/>
    <w:rsid w:val="00B124AE"/>
    <w:rsid w:val="00B1262E"/>
    <w:rsid w:val="00B12C7A"/>
    <w:rsid w:val="00B1426D"/>
    <w:rsid w:val="00B1532A"/>
    <w:rsid w:val="00B154D9"/>
    <w:rsid w:val="00B16A01"/>
    <w:rsid w:val="00B17450"/>
    <w:rsid w:val="00B174D3"/>
    <w:rsid w:val="00B1773B"/>
    <w:rsid w:val="00B177E5"/>
    <w:rsid w:val="00B17DAA"/>
    <w:rsid w:val="00B20319"/>
    <w:rsid w:val="00B20E7E"/>
    <w:rsid w:val="00B21085"/>
    <w:rsid w:val="00B2156A"/>
    <w:rsid w:val="00B21A10"/>
    <w:rsid w:val="00B21D9C"/>
    <w:rsid w:val="00B21FA9"/>
    <w:rsid w:val="00B222B7"/>
    <w:rsid w:val="00B238E4"/>
    <w:rsid w:val="00B23AE4"/>
    <w:rsid w:val="00B24094"/>
    <w:rsid w:val="00B24699"/>
    <w:rsid w:val="00B24981"/>
    <w:rsid w:val="00B25146"/>
    <w:rsid w:val="00B256FD"/>
    <w:rsid w:val="00B265FB"/>
    <w:rsid w:val="00B26A9C"/>
    <w:rsid w:val="00B273A0"/>
    <w:rsid w:val="00B2759C"/>
    <w:rsid w:val="00B277AE"/>
    <w:rsid w:val="00B27F9F"/>
    <w:rsid w:val="00B300C3"/>
    <w:rsid w:val="00B3043B"/>
    <w:rsid w:val="00B3089B"/>
    <w:rsid w:val="00B30A1B"/>
    <w:rsid w:val="00B3269E"/>
    <w:rsid w:val="00B33CBD"/>
    <w:rsid w:val="00B33F14"/>
    <w:rsid w:val="00B34E41"/>
    <w:rsid w:val="00B35290"/>
    <w:rsid w:val="00B35593"/>
    <w:rsid w:val="00B35EC1"/>
    <w:rsid w:val="00B379D8"/>
    <w:rsid w:val="00B37F18"/>
    <w:rsid w:val="00B42368"/>
    <w:rsid w:val="00B423E7"/>
    <w:rsid w:val="00B42A2B"/>
    <w:rsid w:val="00B42EB9"/>
    <w:rsid w:val="00B43A52"/>
    <w:rsid w:val="00B4489D"/>
    <w:rsid w:val="00B46E73"/>
    <w:rsid w:val="00B46F93"/>
    <w:rsid w:val="00B4719B"/>
    <w:rsid w:val="00B47B0D"/>
    <w:rsid w:val="00B50115"/>
    <w:rsid w:val="00B51542"/>
    <w:rsid w:val="00B518B8"/>
    <w:rsid w:val="00B51A82"/>
    <w:rsid w:val="00B52434"/>
    <w:rsid w:val="00B52871"/>
    <w:rsid w:val="00B52C26"/>
    <w:rsid w:val="00B52CAA"/>
    <w:rsid w:val="00B52FCC"/>
    <w:rsid w:val="00B533E3"/>
    <w:rsid w:val="00B54E0E"/>
    <w:rsid w:val="00B553A1"/>
    <w:rsid w:val="00B55747"/>
    <w:rsid w:val="00B559FC"/>
    <w:rsid w:val="00B55B24"/>
    <w:rsid w:val="00B57F95"/>
    <w:rsid w:val="00B604C8"/>
    <w:rsid w:val="00B61271"/>
    <w:rsid w:val="00B6131F"/>
    <w:rsid w:val="00B628C7"/>
    <w:rsid w:val="00B62CD7"/>
    <w:rsid w:val="00B63025"/>
    <w:rsid w:val="00B636EE"/>
    <w:rsid w:val="00B640C5"/>
    <w:rsid w:val="00B6547D"/>
    <w:rsid w:val="00B65745"/>
    <w:rsid w:val="00B65D63"/>
    <w:rsid w:val="00B65DCF"/>
    <w:rsid w:val="00B66084"/>
    <w:rsid w:val="00B664FC"/>
    <w:rsid w:val="00B668E2"/>
    <w:rsid w:val="00B67D8A"/>
    <w:rsid w:val="00B70C83"/>
    <w:rsid w:val="00B71282"/>
    <w:rsid w:val="00B7246B"/>
    <w:rsid w:val="00B729AF"/>
    <w:rsid w:val="00B73609"/>
    <w:rsid w:val="00B744B9"/>
    <w:rsid w:val="00B74F38"/>
    <w:rsid w:val="00B75472"/>
    <w:rsid w:val="00B759A6"/>
    <w:rsid w:val="00B75DF2"/>
    <w:rsid w:val="00B75E60"/>
    <w:rsid w:val="00B76E45"/>
    <w:rsid w:val="00B76F97"/>
    <w:rsid w:val="00B80259"/>
    <w:rsid w:val="00B8079F"/>
    <w:rsid w:val="00B80878"/>
    <w:rsid w:val="00B80E28"/>
    <w:rsid w:val="00B80F90"/>
    <w:rsid w:val="00B81934"/>
    <w:rsid w:val="00B82065"/>
    <w:rsid w:val="00B8225E"/>
    <w:rsid w:val="00B82CA1"/>
    <w:rsid w:val="00B83639"/>
    <w:rsid w:val="00B83D4C"/>
    <w:rsid w:val="00B84413"/>
    <w:rsid w:val="00B8446C"/>
    <w:rsid w:val="00B84B91"/>
    <w:rsid w:val="00B84C31"/>
    <w:rsid w:val="00B85EF6"/>
    <w:rsid w:val="00B86333"/>
    <w:rsid w:val="00B866AE"/>
    <w:rsid w:val="00B86A76"/>
    <w:rsid w:val="00B86C2E"/>
    <w:rsid w:val="00B873B1"/>
    <w:rsid w:val="00B875D0"/>
    <w:rsid w:val="00B90BD1"/>
    <w:rsid w:val="00B90CCE"/>
    <w:rsid w:val="00B90F8B"/>
    <w:rsid w:val="00B91168"/>
    <w:rsid w:val="00B91B00"/>
    <w:rsid w:val="00B924E8"/>
    <w:rsid w:val="00B92509"/>
    <w:rsid w:val="00B92A52"/>
    <w:rsid w:val="00B93282"/>
    <w:rsid w:val="00B93544"/>
    <w:rsid w:val="00B93B20"/>
    <w:rsid w:val="00B94B93"/>
    <w:rsid w:val="00B94E48"/>
    <w:rsid w:val="00B95136"/>
    <w:rsid w:val="00B951C8"/>
    <w:rsid w:val="00B953E9"/>
    <w:rsid w:val="00B95C86"/>
    <w:rsid w:val="00B96237"/>
    <w:rsid w:val="00B97B89"/>
    <w:rsid w:val="00BA0162"/>
    <w:rsid w:val="00BA05E2"/>
    <w:rsid w:val="00BA06CB"/>
    <w:rsid w:val="00BA1226"/>
    <w:rsid w:val="00BA23F8"/>
    <w:rsid w:val="00BA2837"/>
    <w:rsid w:val="00BA39EF"/>
    <w:rsid w:val="00BA4285"/>
    <w:rsid w:val="00BA48A6"/>
    <w:rsid w:val="00BA5FC5"/>
    <w:rsid w:val="00BA65DD"/>
    <w:rsid w:val="00BA68D1"/>
    <w:rsid w:val="00BA6BA1"/>
    <w:rsid w:val="00BA7335"/>
    <w:rsid w:val="00BA743E"/>
    <w:rsid w:val="00BA76A1"/>
    <w:rsid w:val="00BA7A22"/>
    <w:rsid w:val="00BB145D"/>
    <w:rsid w:val="00BB1AC8"/>
    <w:rsid w:val="00BB2F88"/>
    <w:rsid w:val="00BB3B85"/>
    <w:rsid w:val="00BB3DBB"/>
    <w:rsid w:val="00BB4741"/>
    <w:rsid w:val="00BB47AD"/>
    <w:rsid w:val="00BB4F1F"/>
    <w:rsid w:val="00BB5041"/>
    <w:rsid w:val="00BB513B"/>
    <w:rsid w:val="00BB5681"/>
    <w:rsid w:val="00BB5825"/>
    <w:rsid w:val="00BB6D68"/>
    <w:rsid w:val="00BB7888"/>
    <w:rsid w:val="00BB7D72"/>
    <w:rsid w:val="00BC022D"/>
    <w:rsid w:val="00BC0525"/>
    <w:rsid w:val="00BC0E00"/>
    <w:rsid w:val="00BC0EDD"/>
    <w:rsid w:val="00BC161A"/>
    <w:rsid w:val="00BC2087"/>
    <w:rsid w:val="00BC224B"/>
    <w:rsid w:val="00BC2A3D"/>
    <w:rsid w:val="00BC2C31"/>
    <w:rsid w:val="00BC2FBD"/>
    <w:rsid w:val="00BC33AF"/>
    <w:rsid w:val="00BC3E0F"/>
    <w:rsid w:val="00BC4199"/>
    <w:rsid w:val="00BC4AC9"/>
    <w:rsid w:val="00BC4E55"/>
    <w:rsid w:val="00BC51CA"/>
    <w:rsid w:val="00BC6214"/>
    <w:rsid w:val="00BC6CA4"/>
    <w:rsid w:val="00BC74D8"/>
    <w:rsid w:val="00BD00E7"/>
    <w:rsid w:val="00BD00FC"/>
    <w:rsid w:val="00BD2A6B"/>
    <w:rsid w:val="00BD2BDD"/>
    <w:rsid w:val="00BD2C3A"/>
    <w:rsid w:val="00BD3428"/>
    <w:rsid w:val="00BD3ABD"/>
    <w:rsid w:val="00BD4168"/>
    <w:rsid w:val="00BD42CC"/>
    <w:rsid w:val="00BD4824"/>
    <w:rsid w:val="00BD53B9"/>
    <w:rsid w:val="00BD6500"/>
    <w:rsid w:val="00BD66C2"/>
    <w:rsid w:val="00BD6750"/>
    <w:rsid w:val="00BD699E"/>
    <w:rsid w:val="00BD724F"/>
    <w:rsid w:val="00BD736D"/>
    <w:rsid w:val="00BD78A8"/>
    <w:rsid w:val="00BD791E"/>
    <w:rsid w:val="00BE0878"/>
    <w:rsid w:val="00BE08D7"/>
    <w:rsid w:val="00BE2623"/>
    <w:rsid w:val="00BE277D"/>
    <w:rsid w:val="00BE2867"/>
    <w:rsid w:val="00BE3231"/>
    <w:rsid w:val="00BE3815"/>
    <w:rsid w:val="00BE3B06"/>
    <w:rsid w:val="00BE3E9E"/>
    <w:rsid w:val="00BE5BC9"/>
    <w:rsid w:val="00BE6073"/>
    <w:rsid w:val="00BE6654"/>
    <w:rsid w:val="00BE6ED7"/>
    <w:rsid w:val="00BE7998"/>
    <w:rsid w:val="00BE7DB4"/>
    <w:rsid w:val="00BF1050"/>
    <w:rsid w:val="00BF107C"/>
    <w:rsid w:val="00BF1336"/>
    <w:rsid w:val="00BF1F30"/>
    <w:rsid w:val="00BF295B"/>
    <w:rsid w:val="00BF2A63"/>
    <w:rsid w:val="00BF318F"/>
    <w:rsid w:val="00BF3420"/>
    <w:rsid w:val="00BF47B0"/>
    <w:rsid w:val="00BF4B57"/>
    <w:rsid w:val="00BF4CD2"/>
    <w:rsid w:val="00BF561D"/>
    <w:rsid w:val="00BF5B6B"/>
    <w:rsid w:val="00BF5D11"/>
    <w:rsid w:val="00BF65B1"/>
    <w:rsid w:val="00BF66AA"/>
    <w:rsid w:val="00BF7854"/>
    <w:rsid w:val="00C0086D"/>
    <w:rsid w:val="00C00C4E"/>
    <w:rsid w:val="00C00FFD"/>
    <w:rsid w:val="00C01CB9"/>
    <w:rsid w:val="00C02377"/>
    <w:rsid w:val="00C02444"/>
    <w:rsid w:val="00C027A4"/>
    <w:rsid w:val="00C032A6"/>
    <w:rsid w:val="00C0367E"/>
    <w:rsid w:val="00C03BF6"/>
    <w:rsid w:val="00C03CD0"/>
    <w:rsid w:val="00C042C7"/>
    <w:rsid w:val="00C054AE"/>
    <w:rsid w:val="00C057E1"/>
    <w:rsid w:val="00C05913"/>
    <w:rsid w:val="00C05B13"/>
    <w:rsid w:val="00C06A37"/>
    <w:rsid w:val="00C075E5"/>
    <w:rsid w:val="00C076D7"/>
    <w:rsid w:val="00C10793"/>
    <w:rsid w:val="00C10939"/>
    <w:rsid w:val="00C11323"/>
    <w:rsid w:val="00C11D2C"/>
    <w:rsid w:val="00C127A3"/>
    <w:rsid w:val="00C1288B"/>
    <w:rsid w:val="00C12BF6"/>
    <w:rsid w:val="00C12E55"/>
    <w:rsid w:val="00C12E8F"/>
    <w:rsid w:val="00C13061"/>
    <w:rsid w:val="00C13212"/>
    <w:rsid w:val="00C137A1"/>
    <w:rsid w:val="00C13FD6"/>
    <w:rsid w:val="00C140C4"/>
    <w:rsid w:val="00C14638"/>
    <w:rsid w:val="00C14777"/>
    <w:rsid w:val="00C1485B"/>
    <w:rsid w:val="00C155CD"/>
    <w:rsid w:val="00C15B6A"/>
    <w:rsid w:val="00C17D43"/>
    <w:rsid w:val="00C21BF9"/>
    <w:rsid w:val="00C2221B"/>
    <w:rsid w:val="00C2288D"/>
    <w:rsid w:val="00C230C6"/>
    <w:rsid w:val="00C2328A"/>
    <w:rsid w:val="00C23A19"/>
    <w:rsid w:val="00C23D04"/>
    <w:rsid w:val="00C2539F"/>
    <w:rsid w:val="00C25727"/>
    <w:rsid w:val="00C2581D"/>
    <w:rsid w:val="00C25E66"/>
    <w:rsid w:val="00C25F18"/>
    <w:rsid w:val="00C26B3B"/>
    <w:rsid w:val="00C26E91"/>
    <w:rsid w:val="00C27424"/>
    <w:rsid w:val="00C276C6"/>
    <w:rsid w:val="00C30169"/>
    <w:rsid w:val="00C30821"/>
    <w:rsid w:val="00C30909"/>
    <w:rsid w:val="00C30A72"/>
    <w:rsid w:val="00C31179"/>
    <w:rsid w:val="00C3169C"/>
    <w:rsid w:val="00C31A6F"/>
    <w:rsid w:val="00C31D72"/>
    <w:rsid w:val="00C32284"/>
    <w:rsid w:val="00C32836"/>
    <w:rsid w:val="00C330F1"/>
    <w:rsid w:val="00C33729"/>
    <w:rsid w:val="00C33F66"/>
    <w:rsid w:val="00C3555A"/>
    <w:rsid w:val="00C35992"/>
    <w:rsid w:val="00C359D4"/>
    <w:rsid w:val="00C359F8"/>
    <w:rsid w:val="00C36EEA"/>
    <w:rsid w:val="00C376C2"/>
    <w:rsid w:val="00C376E1"/>
    <w:rsid w:val="00C37CD2"/>
    <w:rsid w:val="00C403F7"/>
    <w:rsid w:val="00C42414"/>
    <w:rsid w:val="00C44011"/>
    <w:rsid w:val="00C4431B"/>
    <w:rsid w:val="00C444D0"/>
    <w:rsid w:val="00C444F5"/>
    <w:rsid w:val="00C44D68"/>
    <w:rsid w:val="00C45162"/>
    <w:rsid w:val="00C454E5"/>
    <w:rsid w:val="00C45983"/>
    <w:rsid w:val="00C45AE7"/>
    <w:rsid w:val="00C46B4D"/>
    <w:rsid w:val="00C47165"/>
    <w:rsid w:val="00C47FB1"/>
    <w:rsid w:val="00C5033F"/>
    <w:rsid w:val="00C50DB1"/>
    <w:rsid w:val="00C51D3A"/>
    <w:rsid w:val="00C523D9"/>
    <w:rsid w:val="00C52924"/>
    <w:rsid w:val="00C52A5F"/>
    <w:rsid w:val="00C52ED1"/>
    <w:rsid w:val="00C535AE"/>
    <w:rsid w:val="00C5561E"/>
    <w:rsid w:val="00C5567F"/>
    <w:rsid w:val="00C55A94"/>
    <w:rsid w:val="00C55C23"/>
    <w:rsid w:val="00C56352"/>
    <w:rsid w:val="00C5691A"/>
    <w:rsid w:val="00C57B2B"/>
    <w:rsid w:val="00C60D76"/>
    <w:rsid w:val="00C61555"/>
    <w:rsid w:val="00C619A2"/>
    <w:rsid w:val="00C62C6D"/>
    <w:rsid w:val="00C62D2A"/>
    <w:rsid w:val="00C6344B"/>
    <w:rsid w:val="00C63566"/>
    <w:rsid w:val="00C65181"/>
    <w:rsid w:val="00C6525D"/>
    <w:rsid w:val="00C65A81"/>
    <w:rsid w:val="00C65D6A"/>
    <w:rsid w:val="00C66085"/>
    <w:rsid w:val="00C66625"/>
    <w:rsid w:val="00C670BE"/>
    <w:rsid w:val="00C67418"/>
    <w:rsid w:val="00C67F39"/>
    <w:rsid w:val="00C711C0"/>
    <w:rsid w:val="00C72458"/>
    <w:rsid w:val="00C7254C"/>
    <w:rsid w:val="00C72939"/>
    <w:rsid w:val="00C73C41"/>
    <w:rsid w:val="00C741E6"/>
    <w:rsid w:val="00C741FE"/>
    <w:rsid w:val="00C7438C"/>
    <w:rsid w:val="00C747C0"/>
    <w:rsid w:val="00C74B8E"/>
    <w:rsid w:val="00C75783"/>
    <w:rsid w:val="00C75DC6"/>
    <w:rsid w:val="00C76766"/>
    <w:rsid w:val="00C7714B"/>
    <w:rsid w:val="00C773D8"/>
    <w:rsid w:val="00C774AB"/>
    <w:rsid w:val="00C77642"/>
    <w:rsid w:val="00C779AE"/>
    <w:rsid w:val="00C77C0E"/>
    <w:rsid w:val="00C77F49"/>
    <w:rsid w:val="00C8047B"/>
    <w:rsid w:val="00C814E8"/>
    <w:rsid w:val="00C817AD"/>
    <w:rsid w:val="00C81936"/>
    <w:rsid w:val="00C81A87"/>
    <w:rsid w:val="00C81DF2"/>
    <w:rsid w:val="00C82707"/>
    <w:rsid w:val="00C8366E"/>
    <w:rsid w:val="00C8384A"/>
    <w:rsid w:val="00C83B73"/>
    <w:rsid w:val="00C83C97"/>
    <w:rsid w:val="00C83D22"/>
    <w:rsid w:val="00C83EB3"/>
    <w:rsid w:val="00C842F9"/>
    <w:rsid w:val="00C845C8"/>
    <w:rsid w:val="00C8492D"/>
    <w:rsid w:val="00C84B68"/>
    <w:rsid w:val="00C84EF6"/>
    <w:rsid w:val="00C84F7E"/>
    <w:rsid w:val="00C8585E"/>
    <w:rsid w:val="00C85967"/>
    <w:rsid w:val="00C85F9F"/>
    <w:rsid w:val="00C86EF7"/>
    <w:rsid w:val="00C8744B"/>
    <w:rsid w:val="00C9003E"/>
    <w:rsid w:val="00C900EC"/>
    <w:rsid w:val="00C9049A"/>
    <w:rsid w:val="00C90B87"/>
    <w:rsid w:val="00C91602"/>
    <w:rsid w:val="00C922DD"/>
    <w:rsid w:val="00C928DF"/>
    <w:rsid w:val="00C92E43"/>
    <w:rsid w:val="00C92E7F"/>
    <w:rsid w:val="00C932B4"/>
    <w:rsid w:val="00C93412"/>
    <w:rsid w:val="00C93BB1"/>
    <w:rsid w:val="00C94AA2"/>
    <w:rsid w:val="00C94F92"/>
    <w:rsid w:val="00C9508B"/>
    <w:rsid w:val="00C95407"/>
    <w:rsid w:val="00C956AB"/>
    <w:rsid w:val="00C962BA"/>
    <w:rsid w:val="00C96695"/>
    <w:rsid w:val="00C96B43"/>
    <w:rsid w:val="00CA050F"/>
    <w:rsid w:val="00CA20D3"/>
    <w:rsid w:val="00CA28D5"/>
    <w:rsid w:val="00CA2978"/>
    <w:rsid w:val="00CA297B"/>
    <w:rsid w:val="00CA2F98"/>
    <w:rsid w:val="00CA35D8"/>
    <w:rsid w:val="00CA36D0"/>
    <w:rsid w:val="00CA4548"/>
    <w:rsid w:val="00CA4C24"/>
    <w:rsid w:val="00CA4D58"/>
    <w:rsid w:val="00CA50B7"/>
    <w:rsid w:val="00CA5574"/>
    <w:rsid w:val="00CA5C54"/>
    <w:rsid w:val="00CA5FFD"/>
    <w:rsid w:val="00CA6D6A"/>
    <w:rsid w:val="00CA715E"/>
    <w:rsid w:val="00CA72EF"/>
    <w:rsid w:val="00CB0276"/>
    <w:rsid w:val="00CB0504"/>
    <w:rsid w:val="00CB095F"/>
    <w:rsid w:val="00CB0CCC"/>
    <w:rsid w:val="00CB1674"/>
    <w:rsid w:val="00CB1C43"/>
    <w:rsid w:val="00CB1CF6"/>
    <w:rsid w:val="00CB1ED9"/>
    <w:rsid w:val="00CB2189"/>
    <w:rsid w:val="00CB39F4"/>
    <w:rsid w:val="00CB4954"/>
    <w:rsid w:val="00CB51E0"/>
    <w:rsid w:val="00CB5A7C"/>
    <w:rsid w:val="00CB6EC9"/>
    <w:rsid w:val="00CB6F83"/>
    <w:rsid w:val="00CB789D"/>
    <w:rsid w:val="00CC00C9"/>
    <w:rsid w:val="00CC11A4"/>
    <w:rsid w:val="00CC13F8"/>
    <w:rsid w:val="00CC1624"/>
    <w:rsid w:val="00CC193C"/>
    <w:rsid w:val="00CC39B4"/>
    <w:rsid w:val="00CC3BFC"/>
    <w:rsid w:val="00CC42CE"/>
    <w:rsid w:val="00CC4954"/>
    <w:rsid w:val="00CC4A4E"/>
    <w:rsid w:val="00CC4DC3"/>
    <w:rsid w:val="00CC599C"/>
    <w:rsid w:val="00CC5FB0"/>
    <w:rsid w:val="00CC733F"/>
    <w:rsid w:val="00CD07AE"/>
    <w:rsid w:val="00CD0D67"/>
    <w:rsid w:val="00CD0E1A"/>
    <w:rsid w:val="00CD174E"/>
    <w:rsid w:val="00CD1B2B"/>
    <w:rsid w:val="00CD1CF5"/>
    <w:rsid w:val="00CD26E8"/>
    <w:rsid w:val="00CD29C9"/>
    <w:rsid w:val="00CD2E36"/>
    <w:rsid w:val="00CD3372"/>
    <w:rsid w:val="00CD39C4"/>
    <w:rsid w:val="00CD48E8"/>
    <w:rsid w:val="00CD4E31"/>
    <w:rsid w:val="00CD5CCA"/>
    <w:rsid w:val="00CD6646"/>
    <w:rsid w:val="00CD692F"/>
    <w:rsid w:val="00CD6E23"/>
    <w:rsid w:val="00CD718D"/>
    <w:rsid w:val="00CD78AF"/>
    <w:rsid w:val="00CE01E5"/>
    <w:rsid w:val="00CE083C"/>
    <w:rsid w:val="00CE09A3"/>
    <w:rsid w:val="00CE09E9"/>
    <w:rsid w:val="00CE0EBB"/>
    <w:rsid w:val="00CE155E"/>
    <w:rsid w:val="00CE23A6"/>
    <w:rsid w:val="00CE2634"/>
    <w:rsid w:val="00CE2FEE"/>
    <w:rsid w:val="00CE31E2"/>
    <w:rsid w:val="00CE3E2D"/>
    <w:rsid w:val="00CE52E8"/>
    <w:rsid w:val="00CE530F"/>
    <w:rsid w:val="00CE63B0"/>
    <w:rsid w:val="00CE6AE3"/>
    <w:rsid w:val="00CE6F48"/>
    <w:rsid w:val="00CE7B9B"/>
    <w:rsid w:val="00CF0BDF"/>
    <w:rsid w:val="00CF1248"/>
    <w:rsid w:val="00CF174D"/>
    <w:rsid w:val="00CF2E93"/>
    <w:rsid w:val="00CF3325"/>
    <w:rsid w:val="00CF4881"/>
    <w:rsid w:val="00CF4A73"/>
    <w:rsid w:val="00CF4A8F"/>
    <w:rsid w:val="00CF528F"/>
    <w:rsid w:val="00CF5E7E"/>
    <w:rsid w:val="00CF675E"/>
    <w:rsid w:val="00CF6D9F"/>
    <w:rsid w:val="00CF70F6"/>
    <w:rsid w:val="00CF79D5"/>
    <w:rsid w:val="00D005C0"/>
    <w:rsid w:val="00D00D9F"/>
    <w:rsid w:val="00D02C0B"/>
    <w:rsid w:val="00D02C9A"/>
    <w:rsid w:val="00D02F10"/>
    <w:rsid w:val="00D03572"/>
    <w:rsid w:val="00D0442C"/>
    <w:rsid w:val="00D049DE"/>
    <w:rsid w:val="00D04ADA"/>
    <w:rsid w:val="00D04FE1"/>
    <w:rsid w:val="00D051F8"/>
    <w:rsid w:val="00D05547"/>
    <w:rsid w:val="00D05ABA"/>
    <w:rsid w:val="00D06249"/>
    <w:rsid w:val="00D062C2"/>
    <w:rsid w:val="00D1002D"/>
    <w:rsid w:val="00D10B52"/>
    <w:rsid w:val="00D11167"/>
    <w:rsid w:val="00D11196"/>
    <w:rsid w:val="00D1132E"/>
    <w:rsid w:val="00D12027"/>
    <w:rsid w:val="00D12F3D"/>
    <w:rsid w:val="00D13298"/>
    <w:rsid w:val="00D14CBC"/>
    <w:rsid w:val="00D14D00"/>
    <w:rsid w:val="00D15400"/>
    <w:rsid w:val="00D15C2B"/>
    <w:rsid w:val="00D1603B"/>
    <w:rsid w:val="00D16645"/>
    <w:rsid w:val="00D177F3"/>
    <w:rsid w:val="00D20377"/>
    <w:rsid w:val="00D2039E"/>
    <w:rsid w:val="00D207F3"/>
    <w:rsid w:val="00D20B50"/>
    <w:rsid w:val="00D20C26"/>
    <w:rsid w:val="00D20DB1"/>
    <w:rsid w:val="00D21775"/>
    <w:rsid w:val="00D229EE"/>
    <w:rsid w:val="00D22BAA"/>
    <w:rsid w:val="00D24D0D"/>
    <w:rsid w:val="00D24D6C"/>
    <w:rsid w:val="00D26BF9"/>
    <w:rsid w:val="00D26C94"/>
    <w:rsid w:val="00D27C1C"/>
    <w:rsid w:val="00D30367"/>
    <w:rsid w:val="00D305F2"/>
    <w:rsid w:val="00D31086"/>
    <w:rsid w:val="00D32448"/>
    <w:rsid w:val="00D33E2D"/>
    <w:rsid w:val="00D35AF7"/>
    <w:rsid w:val="00D35D73"/>
    <w:rsid w:val="00D373D5"/>
    <w:rsid w:val="00D3791E"/>
    <w:rsid w:val="00D41051"/>
    <w:rsid w:val="00D411A8"/>
    <w:rsid w:val="00D4188C"/>
    <w:rsid w:val="00D41BE8"/>
    <w:rsid w:val="00D42858"/>
    <w:rsid w:val="00D42F6A"/>
    <w:rsid w:val="00D4313E"/>
    <w:rsid w:val="00D44D18"/>
    <w:rsid w:val="00D44DA4"/>
    <w:rsid w:val="00D45C6E"/>
    <w:rsid w:val="00D45FD5"/>
    <w:rsid w:val="00D4766B"/>
    <w:rsid w:val="00D504B3"/>
    <w:rsid w:val="00D50DE6"/>
    <w:rsid w:val="00D520E4"/>
    <w:rsid w:val="00D522FF"/>
    <w:rsid w:val="00D52A8E"/>
    <w:rsid w:val="00D52AC9"/>
    <w:rsid w:val="00D52B73"/>
    <w:rsid w:val="00D52CAB"/>
    <w:rsid w:val="00D535C5"/>
    <w:rsid w:val="00D559C4"/>
    <w:rsid w:val="00D55AA6"/>
    <w:rsid w:val="00D56E27"/>
    <w:rsid w:val="00D575DC"/>
    <w:rsid w:val="00D57631"/>
    <w:rsid w:val="00D57DFA"/>
    <w:rsid w:val="00D61AF7"/>
    <w:rsid w:val="00D61B3C"/>
    <w:rsid w:val="00D61CAE"/>
    <w:rsid w:val="00D61CD0"/>
    <w:rsid w:val="00D62A55"/>
    <w:rsid w:val="00D62E03"/>
    <w:rsid w:val="00D65E10"/>
    <w:rsid w:val="00D65FE2"/>
    <w:rsid w:val="00D67275"/>
    <w:rsid w:val="00D674BD"/>
    <w:rsid w:val="00D700DA"/>
    <w:rsid w:val="00D70843"/>
    <w:rsid w:val="00D713B8"/>
    <w:rsid w:val="00D716B4"/>
    <w:rsid w:val="00D71CD6"/>
    <w:rsid w:val="00D72624"/>
    <w:rsid w:val="00D72679"/>
    <w:rsid w:val="00D73432"/>
    <w:rsid w:val="00D736BF"/>
    <w:rsid w:val="00D740AB"/>
    <w:rsid w:val="00D74885"/>
    <w:rsid w:val="00D75225"/>
    <w:rsid w:val="00D752BE"/>
    <w:rsid w:val="00D759F9"/>
    <w:rsid w:val="00D76030"/>
    <w:rsid w:val="00D7645D"/>
    <w:rsid w:val="00D76976"/>
    <w:rsid w:val="00D7736B"/>
    <w:rsid w:val="00D803C1"/>
    <w:rsid w:val="00D81137"/>
    <w:rsid w:val="00D815C5"/>
    <w:rsid w:val="00D82109"/>
    <w:rsid w:val="00D821DB"/>
    <w:rsid w:val="00D82F07"/>
    <w:rsid w:val="00D83114"/>
    <w:rsid w:val="00D83D73"/>
    <w:rsid w:val="00D83E27"/>
    <w:rsid w:val="00D83EC7"/>
    <w:rsid w:val="00D857D8"/>
    <w:rsid w:val="00D85D59"/>
    <w:rsid w:val="00D864E7"/>
    <w:rsid w:val="00D86FF5"/>
    <w:rsid w:val="00D871B7"/>
    <w:rsid w:val="00D907EF"/>
    <w:rsid w:val="00D90B98"/>
    <w:rsid w:val="00D915D7"/>
    <w:rsid w:val="00D91682"/>
    <w:rsid w:val="00D918BB"/>
    <w:rsid w:val="00D91F71"/>
    <w:rsid w:val="00D9255B"/>
    <w:rsid w:val="00D92E7D"/>
    <w:rsid w:val="00D92F91"/>
    <w:rsid w:val="00D94B48"/>
    <w:rsid w:val="00D950AF"/>
    <w:rsid w:val="00D954A7"/>
    <w:rsid w:val="00D963B0"/>
    <w:rsid w:val="00D96736"/>
    <w:rsid w:val="00D9687D"/>
    <w:rsid w:val="00D96FB7"/>
    <w:rsid w:val="00D97839"/>
    <w:rsid w:val="00D97975"/>
    <w:rsid w:val="00D97A63"/>
    <w:rsid w:val="00D97DAC"/>
    <w:rsid w:val="00DA0385"/>
    <w:rsid w:val="00DA0B81"/>
    <w:rsid w:val="00DA0E3D"/>
    <w:rsid w:val="00DA1099"/>
    <w:rsid w:val="00DA15CA"/>
    <w:rsid w:val="00DA1CB7"/>
    <w:rsid w:val="00DA2808"/>
    <w:rsid w:val="00DA2C67"/>
    <w:rsid w:val="00DA30A4"/>
    <w:rsid w:val="00DA34B2"/>
    <w:rsid w:val="00DA360F"/>
    <w:rsid w:val="00DA4957"/>
    <w:rsid w:val="00DA5F6D"/>
    <w:rsid w:val="00DA66CB"/>
    <w:rsid w:val="00DA6B4A"/>
    <w:rsid w:val="00DA71E4"/>
    <w:rsid w:val="00DA7D98"/>
    <w:rsid w:val="00DB1CC4"/>
    <w:rsid w:val="00DB213E"/>
    <w:rsid w:val="00DB2992"/>
    <w:rsid w:val="00DB2F96"/>
    <w:rsid w:val="00DB30B9"/>
    <w:rsid w:val="00DB44A0"/>
    <w:rsid w:val="00DB4824"/>
    <w:rsid w:val="00DB5441"/>
    <w:rsid w:val="00DB5BA6"/>
    <w:rsid w:val="00DB6D1D"/>
    <w:rsid w:val="00DB7333"/>
    <w:rsid w:val="00DB767A"/>
    <w:rsid w:val="00DB7C82"/>
    <w:rsid w:val="00DB7E10"/>
    <w:rsid w:val="00DB7E59"/>
    <w:rsid w:val="00DB7FC0"/>
    <w:rsid w:val="00DC07FF"/>
    <w:rsid w:val="00DC0A21"/>
    <w:rsid w:val="00DC0BC0"/>
    <w:rsid w:val="00DC1E8B"/>
    <w:rsid w:val="00DC2547"/>
    <w:rsid w:val="00DC33B7"/>
    <w:rsid w:val="00DC35A3"/>
    <w:rsid w:val="00DC38BE"/>
    <w:rsid w:val="00DC4735"/>
    <w:rsid w:val="00DC5941"/>
    <w:rsid w:val="00DC59CD"/>
    <w:rsid w:val="00DC74A5"/>
    <w:rsid w:val="00DC7743"/>
    <w:rsid w:val="00DC78E0"/>
    <w:rsid w:val="00DD00FC"/>
    <w:rsid w:val="00DD076F"/>
    <w:rsid w:val="00DD0C09"/>
    <w:rsid w:val="00DD0C2C"/>
    <w:rsid w:val="00DD12C5"/>
    <w:rsid w:val="00DD16D5"/>
    <w:rsid w:val="00DD19FD"/>
    <w:rsid w:val="00DD1AA4"/>
    <w:rsid w:val="00DD1BA8"/>
    <w:rsid w:val="00DD2BD0"/>
    <w:rsid w:val="00DD2C80"/>
    <w:rsid w:val="00DD2E7F"/>
    <w:rsid w:val="00DD30C9"/>
    <w:rsid w:val="00DD35C0"/>
    <w:rsid w:val="00DD41ED"/>
    <w:rsid w:val="00DD468D"/>
    <w:rsid w:val="00DD4F55"/>
    <w:rsid w:val="00DD5024"/>
    <w:rsid w:val="00DD51C0"/>
    <w:rsid w:val="00DD55A4"/>
    <w:rsid w:val="00DD58C1"/>
    <w:rsid w:val="00DD64E7"/>
    <w:rsid w:val="00DD6C37"/>
    <w:rsid w:val="00DD6D23"/>
    <w:rsid w:val="00DD6D7A"/>
    <w:rsid w:val="00DD7964"/>
    <w:rsid w:val="00DD7F72"/>
    <w:rsid w:val="00DE075A"/>
    <w:rsid w:val="00DE0903"/>
    <w:rsid w:val="00DE09A1"/>
    <w:rsid w:val="00DE0E0E"/>
    <w:rsid w:val="00DE1090"/>
    <w:rsid w:val="00DE17F3"/>
    <w:rsid w:val="00DE1E86"/>
    <w:rsid w:val="00DE259B"/>
    <w:rsid w:val="00DE32EC"/>
    <w:rsid w:val="00DE33B3"/>
    <w:rsid w:val="00DE34B6"/>
    <w:rsid w:val="00DE3AEE"/>
    <w:rsid w:val="00DE3B4C"/>
    <w:rsid w:val="00DE3E5A"/>
    <w:rsid w:val="00DE3EA8"/>
    <w:rsid w:val="00DE4C8F"/>
    <w:rsid w:val="00DE58E6"/>
    <w:rsid w:val="00DE5C56"/>
    <w:rsid w:val="00DE6138"/>
    <w:rsid w:val="00DE6355"/>
    <w:rsid w:val="00DE6378"/>
    <w:rsid w:val="00DE6537"/>
    <w:rsid w:val="00DE69F8"/>
    <w:rsid w:val="00DE7F39"/>
    <w:rsid w:val="00DF0524"/>
    <w:rsid w:val="00DF09E1"/>
    <w:rsid w:val="00DF0BE4"/>
    <w:rsid w:val="00DF1769"/>
    <w:rsid w:val="00DF1843"/>
    <w:rsid w:val="00DF1E5C"/>
    <w:rsid w:val="00DF22DD"/>
    <w:rsid w:val="00DF4339"/>
    <w:rsid w:val="00DF484C"/>
    <w:rsid w:val="00DF4EB7"/>
    <w:rsid w:val="00DF58AC"/>
    <w:rsid w:val="00DF71C5"/>
    <w:rsid w:val="00DF7313"/>
    <w:rsid w:val="00DF75BF"/>
    <w:rsid w:val="00DF7F8E"/>
    <w:rsid w:val="00E01700"/>
    <w:rsid w:val="00E024CA"/>
    <w:rsid w:val="00E02F8A"/>
    <w:rsid w:val="00E03C92"/>
    <w:rsid w:val="00E03D92"/>
    <w:rsid w:val="00E046ED"/>
    <w:rsid w:val="00E04DBE"/>
    <w:rsid w:val="00E068DB"/>
    <w:rsid w:val="00E07099"/>
    <w:rsid w:val="00E07645"/>
    <w:rsid w:val="00E07F1A"/>
    <w:rsid w:val="00E1045E"/>
    <w:rsid w:val="00E10DC6"/>
    <w:rsid w:val="00E1182F"/>
    <w:rsid w:val="00E11FB0"/>
    <w:rsid w:val="00E12829"/>
    <w:rsid w:val="00E1299C"/>
    <w:rsid w:val="00E1300A"/>
    <w:rsid w:val="00E13030"/>
    <w:rsid w:val="00E1491A"/>
    <w:rsid w:val="00E14A8C"/>
    <w:rsid w:val="00E14BAD"/>
    <w:rsid w:val="00E15056"/>
    <w:rsid w:val="00E16943"/>
    <w:rsid w:val="00E16A2C"/>
    <w:rsid w:val="00E16DCD"/>
    <w:rsid w:val="00E1715D"/>
    <w:rsid w:val="00E1792D"/>
    <w:rsid w:val="00E17DC9"/>
    <w:rsid w:val="00E206DB"/>
    <w:rsid w:val="00E208F6"/>
    <w:rsid w:val="00E20B08"/>
    <w:rsid w:val="00E20FB0"/>
    <w:rsid w:val="00E212BD"/>
    <w:rsid w:val="00E21410"/>
    <w:rsid w:val="00E2218F"/>
    <w:rsid w:val="00E22AB6"/>
    <w:rsid w:val="00E22EF5"/>
    <w:rsid w:val="00E23743"/>
    <w:rsid w:val="00E23BE1"/>
    <w:rsid w:val="00E23F43"/>
    <w:rsid w:val="00E24452"/>
    <w:rsid w:val="00E24FDB"/>
    <w:rsid w:val="00E254D1"/>
    <w:rsid w:val="00E25DF6"/>
    <w:rsid w:val="00E2607A"/>
    <w:rsid w:val="00E26551"/>
    <w:rsid w:val="00E274A1"/>
    <w:rsid w:val="00E274A5"/>
    <w:rsid w:val="00E2785B"/>
    <w:rsid w:val="00E27D32"/>
    <w:rsid w:val="00E27DBC"/>
    <w:rsid w:val="00E302BE"/>
    <w:rsid w:val="00E304B5"/>
    <w:rsid w:val="00E30592"/>
    <w:rsid w:val="00E30F91"/>
    <w:rsid w:val="00E3126E"/>
    <w:rsid w:val="00E31330"/>
    <w:rsid w:val="00E33876"/>
    <w:rsid w:val="00E33AB7"/>
    <w:rsid w:val="00E33E4D"/>
    <w:rsid w:val="00E33E84"/>
    <w:rsid w:val="00E34430"/>
    <w:rsid w:val="00E34CA3"/>
    <w:rsid w:val="00E352D2"/>
    <w:rsid w:val="00E35469"/>
    <w:rsid w:val="00E3550E"/>
    <w:rsid w:val="00E3555C"/>
    <w:rsid w:val="00E35C2D"/>
    <w:rsid w:val="00E35E1B"/>
    <w:rsid w:val="00E35FC2"/>
    <w:rsid w:val="00E36385"/>
    <w:rsid w:val="00E36658"/>
    <w:rsid w:val="00E37174"/>
    <w:rsid w:val="00E37401"/>
    <w:rsid w:val="00E4070B"/>
    <w:rsid w:val="00E41020"/>
    <w:rsid w:val="00E41089"/>
    <w:rsid w:val="00E411B3"/>
    <w:rsid w:val="00E41312"/>
    <w:rsid w:val="00E41386"/>
    <w:rsid w:val="00E41559"/>
    <w:rsid w:val="00E416AD"/>
    <w:rsid w:val="00E41BBF"/>
    <w:rsid w:val="00E42E72"/>
    <w:rsid w:val="00E43037"/>
    <w:rsid w:val="00E44C3A"/>
    <w:rsid w:val="00E4525E"/>
    <w:rsid w:val="00E45811"/>
    <w:rsid w:val="00E45DD2"/>
    <w:rsid w:val="00E475BF"/>
    <w:rsid w:val="00E47753"/>
    <w:rsid w:val="00E47933"/>
    <w:rsid w:val="00E50F9E"/>
    <w:rsid w:val="00E51485"/>
    <w:rsid w:val="00E5175D"/>
    <w:rsid w:val="00E52118"/>
    <w:rsid w:val="00E525FC"/>
    <w:rsid w:val="00E52EB8"/>
    <w:rsid w:val="00E5347F"/>
    <w:rsid w:val="00E538AD"/>
    <w:rsid w:val="00E53A46"/>
    <w:rsid w:val="00E5493A"/>
    <w:rsid w:val="00E55944"/>
    <w:rsid w:val="00E55ABC"/>
    <w:rsid w:val="00E56162"/>
    <w:rsid w:val="00E566CE"/>
    <w:rsid w:val="00E56AF7"/>
    <w:rsid w:val="00E56C11"/>
    <w:rsid w:val="00E56D92"/>
    <w:rsid w:val="00E579FD"/>
    <w:rsid w:val="00E57A1C"/>
    <w:rsid w:val="00E57B74"/>
    <w:rsid w:val="00E60879"/>
    <w:rsid w:val="00E61A44"/>
    <w:rsid w:val="00E61B63"/>
    <w:rsid w:val="00E61EBE"/>
    <w:rsid w:val="00E629EF"/>
    <w:rsid w:val="00E62A7C"/>
    <w:rsid w:val="00E62D7D"/>
    <w:rsid w:val="00E62F1E"/>
    <w:rsid w:val="00E63036"/>
    <w:rsid w:val="00E63093"/>
    <w:rsid w:val="00E6515F"/>
    <w:rsid w:val="00E66320"/>
    <w:rsid w:val="00E6638D"/>
    <w:rsid w:val="00E6683C"/>
    <w:rsid w:val="00E66EE8"/>
    <w:rsid w:val="00E67027"/>
    <w:rsid w:val="00E67867"/>
    <w:rsid w:val="00E67FCA"/>
    <w:rsid w:val="00E71411"/>
    <w:rsid w:val="00E71C8A"/>
    <w:rsid w:val="00E71D0D"/>
    <w:rsid w:val="00E71D4E"/>
    <w:rsid w:val="00E723B6"/>
    <w:rsid w:val="00E7264E"/>
    <w:rsid w:val="00E726A5"/>
    <w:rsid w:val="00E744CF"/>
    <w:rsid w:val="00E74699"/>
    <w:rsid w:val="00E74F5B"/>
    <w:rsid w:val="00E74F7C"/>
    <w:rsid w:val="00E75252"/>
    <w:rsid w:val="00E75D7D"/>
    <w:rsid w:val="00E760A9"/>
    <w:rsid w:val="00E761C1"/>
    <w:rsid w:val="00E7660F"/>
    <w:rsid w:val="00E767AB"/>
    <w:rsid w:val="00E76865"/>
    <w:rsid w:val="00E76868"/>
    <w:rsid w:val="00E76A2B"/>
    <w:rsid w:val="00E76D46"/>
    <w:rsid w:val="00E77131"/>
    <w:rsid w:val="00E7716A"/>
    <w:rsid w:val="00E775EB"/>
    <w:rsid w:val="00E77D28"/>
    <w:rsid w:val="00E818C8"/>
    <w:rsid w:val="00E8321F"/>
    <w:rsid w:val="00E8377A"/>
    <w:rsid w:val="00E83D8E"/>
    <w:rsid w:val="00E84C58"/>
    <w:rsid w:val="00E853F6"/>
    <w:rsid w:val="00E85450"/>
    <w:rsid w:val="00E8629F"/>
    <w:rsid w:val="00E86B6F"/>
    <w:rsid w:val="00E86D85"/>
    <w:rsid w:val="00E87055"/>
    <w:rsid w:val="00E875BD"/>
    <w:rsid w:val="00E8779C"/>
    <w:rsid w:val="00E87BAC"/>
    <w:rsid w:val="00E87CEB"/>
    <w:rsid w:val="00E919CF"/>
    <w:rsid w:val="00E92C2B"/>
    <w:rsid w:val="00E93697"/>
    <w:rsid w:val="00E946D9"/>
    <w:rsid w:val="00E95071"/>
    <w:rsid w:val="00E959EE"/>
    <w:rsid w:val="00E96C77"/>
    <w:rsid w:val="00E9720F"/>
    <w:rsid w:val="00E973BB"/>
    <w:rsid w:val="00E97E70"/>
    <w:rsid w:val="00E97EDA"/>
    <w:rsid w:val="00EA11D1"/>
    <w:rsid w:val="00EA1E1D"/>
    <w:rsid w:val="00EA1FAC"/>
    <w:rsid w:val="00EA2AC6"/>
    <w:rsid w:val="00EA336E"/>
    <w:rsid w:val="00EA39B9"/>
    <w:rsid w:val="00EA3C24"/>
    <w:rsid w:val="00EA497A"/>
    <w:rsid w:val="00EA4D9F"/>
    <w:rsid w:val="00EA4F20"/>
    <w:rsid w:val="00EA532D"/>
    <w:rsid w:val="00EA5997"/>
    <w:rsid w:val="00EA5E24"/>
    <w:rsid w:val="00EA694A"/>
    <w:rsid w:val="00EA6AE1"/>
    <w:rsid w:val="00EA700F"/>
    <w:rsid w:val="00EB0778"/>
    <w:rsid w:val="00EB0F75"/>
    <w:rsid w:val="00EB277D"/>
    <w:rsid w:val="00EB29D4"/>
    <w:rsid w:val="00EB34FC"/>
    <w:rsid w:val="00EB3EEA"/>
    <w:rsid w:val="00EB48CC"/>
    <w:rsid w:val="00EB4E90"/>
    <w:rsid w:val="00EB54D7"/>
    <w:rsid w:val="00EB5E44"/>
    <w:rsid w:val="00EB6167"/>
    <w:rsid w:val="00EB711A"/>
    <w:rsid w:val="00EB764D"/>
    <w:rsid w:val="00EB77FD"/>
    <w:rsid w:val="00EB7F95"/>
    <w:rsid w:val="00EC032B"/>
    <w:rsid w:val="00EC1152"/>
    <w:rsid w:val="00EC1625"/>
    <w:rsid w:val="00EC240F"/>
    <w:rsid w:val="00EC2B9F"/>
    <w:rsid w:val="00EC3268"/>
    <w:rsid w:val="00EC4F41"/>
    <w:rsid w:val="00EC4FE4"/>
    <w:rsid w:val="00EC5003"/>
    <w:rsid w:val="00EC585B"/>
    <w:rsid w:val="00EC5B74"/>
    <w:rsid w:val="00EC5D7A"/>
    <w:rsid w:val="00EC5EB6"/>
    <w:rsid w:val="00EC5FEE"/>
    <w:rsid w:val="00EC770D"/>
    <w:rsid w:val="00EC797E"/>
    <w:rsid w:val="00EC7CA3"/>
    <w:rsid w:val="00ED0954"/>
    <w:rsid w:val="00ED1D97"/>
    <w:rsid w:val="00ED1E0E"/>
    <w:rsid w:val="00ED1E64"/>
    <w:rsid w:val="00ED21BA"/>
    <w:rsid w:val="00ED2B49"/>
    <w:rsid w:val="00ED3173"/>
    <w:rsid w:val="00ED4774"/>
    <w:rsid w:val="00ED4BD1"/>
    <w:rsid w:val="00ED5771"/>
    <w:rsid w:val="00ED5F9B"/>
    <w:rsid w:val="00ED5FF6"/>
    <w:rsid w:val="00ED6A8B"/>
    <w:rsid w:val="00ED739E"/>
    <w:rsid w:val="00ED7A62"/>
    <w:rsid w:val="00ED7E82"/>
    <w:rsid w:val="00EE0151"/>
    <w:rsid w:val="00EE205F"/>
    <w:rsid w:val="00EE2BDD"/>
    <w:rsid w:val="00EE30E2"/>
    <w:rsid w:val="00EE5127"/>
    <w:rsid w:val="00EE55FE"/>
    <w:rsid w:val="00EE56CE"/>
    <w:rsid w:val="00EE56F6"/>
    <w:rsid w:val="00EE5722"/>
    <w:rsid w:val="00EE5DF6"/>
    <w:rsid w:val="00EE6DA5"/>
    <w:rsid w:val="00EE6FBD"/>
    <w:rsid w:val="00EE735C"/>
    <w:rsid w:val="00EE78ED"/>
    <w:rsid w:val="00EF01C2"/>
    <w:rsid w:val="00EF0F41"/>
    <w:rsid w:val="00EF27B8"/>
    <w:rsid w:val="00EF2946"/>
    <w:rsid w:val="00EF2BD2"/>
    <w:rsid w:val="00EF3314"/>
    <w:rsid w:val="00EF3465"/>
    <w:rsid w:val="00EF3A41"/>
    <w:rsid w:val="00EF3B25"/>
    <w:rsid w:val="00EF4621"/>
    <w:rsid w:val="00EF4E04"/>
    <w:rsid w:val="00EF4E46"/>
    <w:rsid w:val="00EF5012"/>
    <w:rsid w:val="00EF53BA"/>
    <w:rsid w:val="00EF5853"/>
    <w:rsid w:val="00EF58B8"/>
    <w:rsid w:val="00EF5D68"/>
    <w:rsid w:val="00EF624B"/>
    <w:rsid w:val="00EF6487"/>
    <w:rsid w:val="00EF6638"/>
    <w:rsid w:val="00EF7011"/>
    <w:rsid w:val="00EF731D"/>
    <w:rsid w:val="00EF7B1C"/>
    <w:rsid w:val="00EF7B20"/>
    <w:rsid w:val="00EF7D73"/>
    <w:rsid w:val="00F0008F"/>
    <w:rsid w:val="00F00298"/>
    <w:rsid w:val="00F00500"/>
    <w:rsid w:val="00F00C0E"/>
    <w:rsid w:val="00F026DA"/>
    <w:rsid w:val="00F02B54"/>
    <w:rsid w:val="00F02B98"/>
    <w:rsid w:val="00F02BCB"/>
    <w:rsid w:val="00F035EB"/>
    <w:rsid w:val="00F0403C"/>
    <w:rsid w:val="00F0405B"/>
    <w:rsid w:val="00F04129"/>
    <w:rsid w:val="00F04493"/>
    <w:rsid w:val="00F04D87"/>
    <w:rsid w:val="00F04E64"/>
    <w:rsid w:val="00F04F0D"/>
    <w:rsid w:val="00F05B89"/>
    <w:rsid w:val="00F05D56"/>
    <w:rsid w:val="00F065C5"/>
    <w:rsid w:val="00F072D8"/>
    <w:rsid w:val="00F07D14"/>
    <w:rsid w:val="00F07D52"/>
    <w:rsid w:val="00F07F0E"/>
    <w:rsid w:val="00F10658"/>
    <w:rsid w:val="00F10671"/>
    <w:rsid w:val="00F10A46"/>
    <w:rsid w:val="00F10DF7"/>
    <w:rsid w:val="00F1108A"/>
    <w:rsid w:val="00F12537"/>
    <w:rsid w:val="00F12B48"/>
    <w:rsid w:val="00F12DE0"/>
    <w:rsid w:val="00F1477C"/>
    <w:rsid w:val="00F14DCA"/>
    <w:rsid w:val="00F14DD5"/>
    <w:rsid w:val="00F15871"/>
    <w:rsid w:val="00F16EB4"/>
    <w:rsid w:val="00F16F49"/>
    <w:rsid w:val="00F1722D"/>
    <w:rsid w:val="00F17F02"/>
    <w:rsid w:val="00F20154"/>
    <w:rsid w:val="00F23063"/>
    <w:rsid w:val="00F255A3"/>
    <w:rsid w:val="00F256EA"/>
    <w:rsid w:val="00F27B32"/>
    <w:rsid w:val="00F27C1F"/>
    <w:rsid w:val="00F31793"/>
    <w:rsid w:val="00F323CF"/>
    <w:rsid w:val="00F3253C"/>
    <w:rsid w:val="00F326BE"/>
    <w:rsid w:val="00F329E1"/>
    <w:rsid w:val="00F33377"/>
    <w:rsid w:val="00F3343D"/>
    <w:rsid w:val="00F3423B"/>
    <w:rsid w:val="00F345DF"/>
    <w:rsid w:val="00F35B54"/>
    <w:rsid w:val="00F3688D"/>
    <w:rsid w:val="00F36EC6"/>
    <w:rsid w:val="00F408B2"/>
    <w:rsid w:val="00F4114D"/>
    <w:rsid w:val="00F41E2D"/>
    <w:rsid w:val="00F4222C"/>
    <w:rsid w:val="00F42BD7"/>
    <w:rsid w:val="00F43AE4"/>
    <w:rsid w:val="00F43C50"/>
    <w:rsid w:val="00F44D67"/>
    <w:rsid w:val="00F458F5"/>
    <w:rsid w:val="00F45D78"/>
    <w:rsid w:val="00F45E42"/>
    <w:rsid w:val="00F462A7"/>
    <w:rsid w:val="00F4687D"/>
    <w:rsid w:val="00F46A3B"/>
    <w:rsid w:val="00F46B17"/>
    <w:rsid w:val="00F47598"/>
    <w:rsid w:val="00F50634"/>
    <w:rsid w:val="00F50643"/>
    <w:rsid w:val="00F5097D"/>
    <w:rsid w:val="00F5176C"/>
    <w:rsid w:val="00F51A5B"/>
    <w:rsid w:val="00F526AF"/>
    <w:rsid w:val="00F529F1"/>
    <w:rsid w:val="00F52BB6"/>
    <w:rsid w:val="00F52E7A"/>
    <w:rsid w:val="00F52F1C"/>
    <w:rsid w:val="00F5328F"/>
    <w:rsid w:val="00F532A1"/>
    <w:rsid w:val="00F547B1"/>
    <w:rsid w:val="00F548EE"/>
    <w:rsid w:val="00F54D91"/>
    <w:rsid w:val="00F55170"/>
    <w:rsid w:val="00F5697A"/>
    <w:rsid w:val="00F5723C"/>
    <w:rsid w:val="00F572E1"/>
    <w:rsid w:val="00F573A6"/>
    <w:rsid w:val="00F57D00"/>
    <w:rsid w:val="00F604D2"/>
    <w:rsid w:val="00F60703"/>
    <w:rsid w:val="00F6132C"/>
    <w:rsid w:val="00F61EB0"/>
    <w:rsid w:val="00F62299"/>
    <w:rsid w:val="00F6250C"/>
    <w:rsid w:val="00F631D3"/>
    <w:rsid w:val="00F638C4"/>
    <w:rsid w:val="00F63976"/>
    <w:rsid w:val="00F6397F"/>
    <w:rsid w:val="00F63DA0"/>
    <w:rsid w:val="00F641AE"/>
    <w:rsid w:val="00F647B8"/>
    <w:rsid w:val="00F648D4"/>
    <w:rsid w:val="00F64B3E"/>
    <w:rsid w:val="00F64F1A"/>
    <w:rsid w:val="00F65259"/>
    <w:rsid w:val="00F65348"/>
    <w:rsid w:val="00F6548D"/>
    <w:rsid w:val="00F6574C"/>
    <w:rsid w:val="00F65A74"/>
    <w:rsid w:val="00F65CB0"/>
    <w:rsid w:val="00F65E56"/>
    <w:rsid w:val="00F65FBB"/>
    <w:rsid w:val="00F6634D"/>
    <w:rsid w:val="00F66B74"/>
    <w:rsid w:val="00F66C37"/>
    <w:rsid w:val="00F66CBE"/>
    <w:rsid w:val="00F66D30"/>
    <w:rsid w:val="00F67418"/>
    <w:rsid w:val="00F67D0C"/>
    <w:rsid w:val="00F706DB"/>
    <w:rsid w:val="00F70AAD"/>
    <w:rsid w:val="00F70C8D"/>
    <w:rsid w:val="00F71A8C"/>
    <w:rsid w:val="00F7215A"/>
    <w:rsid w:val="00F72A7A"/>
    <w:rsid w:val="00F732BA"/>
    <w:rsid w:val="00F73E7F"/>
    <w:rsid w:val="00F740E1"/>
    <w:rsid w:val="00F74299"/>
    <w:rsid w:val="00F746F0"/>
    <w:rsid w:val="00F7545B"/>
    <w:rsid w:val="00F75A2B"/>
    <w:rsid w:val="00F75A4F"/>
    <w:rsid w:val="00F76B78"/>
    <w:rsid w:val="00F80375"/>
    <w:rsid w:val="00F8043A"/>
    <w:rsid w:val="00F8045F"/>
    <w:rsid w:val="00F809EF"/>
    <w:rsid w:val="00F80B51"/>
    <w:rsid w:val="00F80DAA"/>
    <w:rsid w:val="00F80E68"/>
    <w:rsid w:val="00F8109A"/>
    <w:rsid w:val="00F8150B"/>
    <w:rsid w:val="00F81861"/>
    <w:rsid w:val="00F8260C"/>
    <w:rsid w:val="00F82AAB"/>
    <w:rsid w:val="00F82D95"/>
    <w:rsid w:val="00F82D96"/>
    <w:rsid w:val="00F82DA1"/>
    <w:rsid w:val="00F8381E"/>
    <w:rsid w:val="00F8498B"/>
    <w:rsid w:val="00F84C6D"/>
    <w:rsid w:val="00F8513F"/>
    <w:rsid w:val="00F85369"/>
    <w:rsid w:val="00F85739"/>
    <w:rsid w:val="00F86232"/>
    <w:rsid w:val="00F86798"/>
    <w:rsid w:val="00F87758"/>
    <w:rsid w:val="00F87C62"/>
    <w:rsid w:val="00F902C3"/>
    <w:rsid w:val="00F90937"/>
    <w:rsid w:val="00F90C5C"/>
    <w:rsid w:val="00F90D35"/>
    <w:rsid w:val="00F917C7"/>
    <w:rsid w:val="00F91FD9"/>
    <w:rsid w:val="00F9263D"/>
    <w:rsid w:val="00F92705"/>
    <w:rsid w:val="00F927B1"/>
    <w:rsid w:val="00F92C85"/>
    <w:rsid w:val="00F95BC3"/>
    <w:rsid w:val="00F961BF"/>
    <w:rsid w:val="00F96E69"/>
    <w:rsid w:val="00F9767B"/>
    <w:rsid w:val="00FA0423"/>
    <w:rsid w:val="00FA149C"/>
    <w:rsid w:val="00FA1551"/>
    <w:rsid w:val="00FA1AAA"/>
    <w:rsid w:val="00FA1B0A"/>
    <w:rsid w:val="00FA248E"/>
    <w:rsid w:val="00FA2E4F"/>
    <w:rsid w:val="00FA3174"/>
    <w:rsid w:val="00FA41DC"/>
    <w:rsid w:val="00FA480E"/>
    <w:rsid w:val="00FA514E"/>
    <w:rsid w:val="00FA5832"/>
    <w:rsid w:val="00FA5AC1"/>
    <w:rsid w:val="00FA5C95"/>
    <w:rsid w:val="00FA718B"/>
    <w:rsid w:val="00FA7519"/>
    <w:rsid w:val="00FB00A2"/>
    <w:rsid w:val="00FB05A7"/>
    <w:rsid w:val="00FB181C"/>
    <w:rsid w:val="00FB1F97"/>
    <w:rsid w:val="00FB2B57"/>
    <w:rsid w:val="00FB3ACD"/>
    <w:rsid w:val="00FB3E77"/>
    <w:rsid w:val="00FB5DE6"/>
    <w:rsid w:val="00FB5E31"/>
    <w:rsid w:val="00FB6A6B"/>
    <w:rsid w:val="00FB6AAC"/>
    <w:rsid w:val="00FB6AD3"/>
    <w:rsid w:val="00FB6F50"/>
    <w:rsid w:val="00FB72E6"/>
    <w:rsid w:val="00FB7A36"/>
    <w:rsid w:val="00FC009D"/>
    <w:rsid w:val="00FC051F"/>
    <w:rsid w:val="00FC053A"/>
    <w:rsid w:val="00FC0FC7"/>
    <w:rsid w:val="00FC103E"/>
    <w:rsid w:val="00FC1B45"/>
    <w:rsid w:val="00FC1B7D"/>
    <w:rsid w:val="00FC1D8E"/>
    <w:rsid w:val="00FC204A"/>
    <w:rsid w:val="00FC2284"/>
    <w:rsid w:val="00FC2409"/>
    <w:rsid w:val="00FC2E47"/>
    <w:rsid w:val="00FC3754"/>
    <w:rsid w:val="00FC3EDA"/>
    <w:rsid w:val="00FC4132"/>
    <w:rsid w:val="00FC46BC"/>
    <w:rsid w:val="00FC5872"/>
    <w:rsid w:val="00FC5893"/>
    <w:rsid w:val="00FC5D0E"/>
    <w:rsid w:val="00FC5D56"/>
    <w:rsid w:val="00FC6847"/>
    <w:rsid w:val="00FC69F5"/>
    <w:rsid w:val="00FC6AE2"/>
    <w:rsid w:val="00FC6E4F"/>
    <w:rsid w:val="00FC6F0F"/>
    <w:rsid w:val="00FC70A2"/>
    <w:rsid w:val="00FC77A4"/>
    <w:rsid w:val="00FD030E"/>
    <w:rsid w:val="00FD0B18"/>
    <w:rsid w:val="00FD0BE3"/>
    <w:rsid w:val="00FD16EC"/>
    <w:rsid w:val="00FD2517"/>
    <w:rsid w:val="00FD2563"/>
    <w:rsid w:val="00FD3818"/>
    <w:rsid w:val="00FD39D6"/>
    <w:rsid w:val="00FD4AB4"/>
    <w:rsid w:val="00FD4DF8"/>
    <w:rsid w:val="00FD522E"/>
    <w:rsid w:val="00FD5D12"/>
    <w:rsid w:val="00FD6178"/>
    <w:rsid w:val="00FD6180"/>
    <w:rsid w:val="00FD799E"/>
    <w:rsid w:val="00FD7A60"/>
    <w:rsid w:val="00FD7CAC"/>
    <w:rsid w:val="00FE1122"/>
    <w:rsid w:val="00FE117E"/>
    <w:rsid w:val="00FE15E3"/>
    <w:rsid w:val="00FE1B06"/>
    <w:rsid w:val="00FE2D5A"/>
    <w:rsid w:val="00FE387D"/>
    <w:rsid w:val="00FE3C4C"/>
    <w:rsid w:val="00FE453B"/>
    <w:rsid w:val="00FE66BE"/>
    <w:rsid w:val="00FE6820"/>
    <w:rsid w:val="00FE7066"/>
    <w:rsid w:val="00FE709C"/>
    <w:rsid w:val="00FE7925"/>
    <w:rsid w:val="00FE79BF"/>
    <w:rsid w:val="00FE7CF7"/>
    <w:rsid w:val="00FE7E67"/>
    <w:rsid w:val="00FF037A"/>
    <w:rsid w:val="00FF13F2"/>
    <w:rsid w:val="00FF225F"/>
    <w:rsid w:val="00FF2640"/>
    <w:rsid w:val="00FF2B24"/>
    <w:rsid w:val="00FF2D7F"/>
    <w:rsid w:val="00FF32BA"/>
    <w:rsid w:val="00FF380C"/>
    <w:rsid w:val="00FF3BE0"/>
    <w:rsid w:val="00FF4498"/>
    <w:rsid w:val="00FF46A7"/>
    <w:rsid w:val="00FF4951"/>
    <w:rsid w:val="00FF565D"/>
    <w:rsid w:val="00FF5C05"/>
    <w:rsid w:val="00FF714B"/>
    <w:rsid w:val="00FF7DDB"/>
    <w:rsid w:val="00FF7FF4"/>
    <w:rsid w:val="4A115CB9"/>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BD76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annotation text" w:qFormat="1"/>
    <w:lsdException w:name="caption"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1D0D"/>
    <w:pPr>
      <w:spacing w:after="180"/>
    </w:pPr>
    <w:rPr>
      <w:sz w:val="22"/>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en-GB"/>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qFormat/>
    <w:rPr>
      <w:lang w:val="en-GB"/>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link w:val="CaptionChar"/>
    <w:qFormat/>
    <w:pPr>
      <w:spacing w:before="120" w:after="120"/>
    </w:pPr>
    <w:rPr>
      <w:b/>
      <w:lang w:val="en-G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qFormat/>
    <w:rPr>
      <w:sz w:val="16"/>
    </w:rPr>
  </w:style>
  <w:style w:type="paragraph" w:customStyle="1" w:styleId="Guidance">
    <w:name w:val="Guidance"/>
    <w:basedOn w:val="Normal"/>
    <w:uiPriority w:val="99"/>
    <w:rPr>
      <w:i/>
      <w:color w:val="0000FF"/>
    </w:rPr>
  </w:style>
  <w:style w:type="paragraph" w:styleId="CommentText">
    <w:name w:val="annotation text"/>
    <w:basedOn w:val="Normal"/>
    <w:link w:val="CommentTextChar"/>
    <w:qFormat/>
  </w:style>
  <w:style w:type="paragraph" w:styleId="BalloonText">
    <w:name w:val="Balloon Text"/>
    <w:basedOn w:val="Normal"/>
    <w:link w:val="BalloonTextChar"/>
    <w:rsid w:val="00904188"/>
    <w:pPr>
      <w:spacing w:after="0"/>
    </w:pPr>
    <w:rPr>
      <w:rFonts w:ascii="Tahoma" w:hAnsi="Tahoma"/>
      <w:sz w:val="16"/>
      <w:szCs w:val="16"/>
      <w:lang w:val="en-GB"/>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eastAsia="en-US"/>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qFormat/>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eastAsia="en-US"/>
    </w:rPr>
  </w:style>
  <w:style w:type="paragraph" w:styleId="ListParagraph">
    <w:name w:val="List Paragraph"/>
    <w:aliases w:val="- Bullets,목록 단락,列出段落,Lista1,?? ??,?????,????,中等深浅网格 1 - 着色 21,リスト段落,列出段落1,列表段落,¥¡¡¡¡ì¬º¥¹¥È¶ÎÂä,ÁÐ³ö¶ÎÂä,¥ê¥¹¥È¶ÎÂä,列表段落1,—ño’i—Ž,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eastAsia="zh-CN"/>
    </w:rPr>
  </w:style>
  <w:style w:type="table" w:styleId="TableGrid">
    <w:name w:val="Table Grid"/>
    <w:basedOn w:val="TableNormal"/>
    <w:uiPriority w:val="39"/>
    <w:qFormat/>
    <w:rsid w:val="008744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874487"/>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apple-converted-space">
    <w:name w:val="apple-converted-space"/>
    <w:rsid w:val="00DC4735"/>
  </w:style>
  <w:style w:type="paragraph" w:styleId="Revision">
    <w:name w:val="Revision"/>
    <w:hidden/>
    <w:uiPriority w:val="99"/>
    <w:semiHidden/>
    <w:rsid w:val="005044DC"/>
    <w:rPr>
      <w:lang w:eastAsia="en-US"/>
    </w:rPr>
  </w:style>
  <w:style w:type="table" w:styleId="TableGrid2">
    <w:name w:val="Table Grid 2"/>
    <w:basedOn w:val="TableNormal"/>
    <w:rsid w:val="00542A2B"/>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ListParagraphChar">
    <w:name w:val="List Paragraph Char"/>
    <w:aliases w:val="- Bullets Char,목록 단락 Char,列出段落 Char,Lista1 Char,?? ?? Char,????? Char,???? Char,中等深浅网格 1 - 着色 21 Char,リスト段落 Char,列出段落1 Char,列表段落 Char,¥¡¡¡¡ì¬º¥¹¥È¶ÎÂä Char,ÁÐ³ö¶ÎÂä Char,¥ê¥¹¥È¶ÎÂä Char,列表段落1 Char,—ño’i—Ž Char,Paragrafo elenco Char"/>
    <w:link w:val="ListParagraph"/>
    <w:uiPriority w:val="34"/>
    <w:qFormat/>
    <w:locked/>
    <w:rsid w:val="00793A0D"/>
    <w:rPr>
      <w:lang w:eastAsia="en-US"/>
    </w:rPr>
  </w:style>
  <w:style w:type="table" w:styleId="GridTable1Light-Accent2">
    <w:name w:val="Grid Table 1 Light Accent 2"/>
    <w:basedOn w:val="TableNormal"/>
    <w:uiPriority w:val="46"/>
    <w:rsid w:val="003879B3"/>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Heading1Char">
    <w:name w:val="Heading 1 Char"/>
    <w:link w:val="Heading1"/>
    <w:uiPriority w:val="9"/>
    <w:rsid w:val="00405C6C"/>
    <w:rPr>
      <w:rFonts w:ascii="Arial" w:hAnsi="Arial"/>
      <w:sz w:val="36"/>
      <w:lang w:val="en-GB" w:eastAsia="en-US"/>
    </w:rPr>
  </w:style>
  <w:style w:type="paragraph" w:customStyle="1" w:styleId="bullet1">
    <w:name w:val="bullet1"/>
    <w:basedOn w:val="Normal"/>
    <w:link w:val="bullet1Char"/>
    <w:qFormat/>
    <w:rsid w:val="00F63DA0"/>
    <w:pPr>
      <w:numPr>
        <w:numId w:val="3"/>
      </w:numPr>
      <w:spacing w:after="0"/>
    </w:pPr>
    <w:rPr>
      <w:rFonts w:ascii="Calibri" w:eastAsia="SimSun" w:hAnsi="Calibri"/>
      <w:kern w:val="2"/>
      <w:sz w:val="24"/>
      <w:szCs w:val="24"/>
      <w:lang w:val="en-GB" w:eastAsia="zh-CN"/>
    </w:rPr>
  </w:style>
  <w:style w:type="paragraph" w:customStyle="1" w:styleId="bullet2">
    <w:name w:val="bullet2"/>
    <w:basedOn w:val="Normal"/>
    <w:link w:val="bullet2Char"/>
    <w:qFormat/>
    <w:rsid w:val="00F63DA0"/>
    <w:pPr>
      <w:numPr>
        <w:ilvl w:val="1"/>
        <w:numId w:val="3"/>
      </w:numPr>
      <w:spacing w:after="0"/>
    </w:pPr>
    <w:rPr>
      <w:rFonts w:ascii="Times" w:eastAsia="SimSun" w:hAnsi="Times"/>
      <w:kern w:val="2"/>
      <w:sz w:val="24"/>
      <w:szCs w:val="24"/>
      <w:lang w:val="en-GB" w:eastAsia="zh-CN"/>
    </w:rPr>
  </w:style>
  <w:style w:type="character" w:customStyle="1" w:styleId="bullet1Char">
    <w:name w:val="bullet1 Char"/>
    <w:link w:val="bullet1"/>
    <w:rsid w:val="00F63DA0"/>
    <w:rPr>
      <w:rFonts w:ascii="Calibri" w:eastAsia="SimSun" w:hAnsi="Calibri"/>
      <w:kern w:val="2"/>
      <w:sz w:val="24"/>
      <w:szCs w:val="24"/>
      <w:lang w:val="en-GB" w:eastAsia="zh-CN"/>
    </w:rPr>
  </w:style>
  <w:style w:type="paragraph" w:customStyle="1" w:styleId="bullet3">
    <w:name w:val="bullet3"/>
    <w:basedOn w:val="Normal"/>
    <w:qFormat/>
    <w:rsid w:val="00F63DA0"/>
    <w:pPr>
      <w:numPr>
        <w:ilvl w:val="2"/>
        <w:numId w:val="3"/>
      </w:numPr>
      <w:spacing w:after="0"/>
    </w:pPr>
    <w:rPr>
      <w:rFonts w:ascii="Times" w:eastAsia="Batang" w:hAnsi="Times"/>
      <w:szCs w:val="24"/>
      <w:lang w:val="en-GB"/>
    </w:rPr>
  </w:style>
  <w:style w:type="paragraph" w:customStyle="1" w:styleId="bullet4">
    <w:name w:val="bullet4"/>
    <w:basedOn w:val="Normal"/>
    <w:qFormat/>
    <w:rsid w:val="00F63DA0"/>
    <w:pPr>
      <w:numPr>
        <w:ilvl w:val="3"/>
        <w:numId w:val="3"/>
      </w:numPr>
      <w:spacing w:after="0"/>
    </w:pPr>
    <w:rPr>
      <w:rFonts w:ascii="Times" w:eastAsia="Batang" w:hAnsi="Times"/>
      <w:szCs w:val="24"/>
      <w:lang w:val="en-GB"/>
    </w:rPr>
  </w:style>
  <w:style w:type="paragraph" w:customStyle="1" w:styleId="RAN1bullet1">
    <w:name w:val="RAN1 bullet1"/>
    <w:basedOn w:val="Normal"/>
    <w:link w:val="RAN1bullet1Char"/>
    <w:qFormat/>
    <w:rsid w:val="00F63DA0"/>
    <w:pPr>
      <w:numPr>
        <w:numId w:val="4"/>
      </w:numPr>
      <w:spacing w:after="0"/>
    </w:pPr>
    <w:rPr>
      <w:rFonts w:ascii="Times" w:eastAsia="Batang" w:hAnsi="Times"/>
      <w:szCs w:val="22"/>
      <w:lang w:val="en-GB" w:eastAsia="x-none"/>
    </w:rPr>
  </w:style>
  <w:style w:type="paragraph" w:customStyle="1" w:styleId="RAN1bullet2">
    <w:name w:val="RAN1 bullet2"/>
    <w:basedOn w:val="Normal"/>
    <w:link w:val="RAN1bullet2Char"/>
    <w:qFormat/>
    <w:rsid w:val="00F63DA0"/>
    <w:pPr>
      <w:numPr>
        <w:ilvl w:val="1"/>
        <w:numId w:val="5"/>
      </w:numPr>
      <w:tabs>
        <w:tab w:val="left" w:pos="1440"/>
      </w:tabs>
      <w:spacing w:after="0"/>
    </w:pPr>
    <w:rPr>
      <w:rFonts w:ascii="Times" w:eastAsia="Batang" w:hAnsi="Times"/>
    </w:rPr>
  </w:style>
  <w:style w:type="character" w:customStyle="1" w:styleId="RAN1bullet1Char">
    <w:name w:val="RAN1 bullet1 Char"/>
    <w:link w:val="RAN1bullet1"/>
    <w:rsid w:val="00F63DA0"/>
    <w:rPr>
      <w:rFonts w:ascii="Times" w:eastAsia="Batang" w:hAnsi="Times"/>
      <w:sz w:val="22"/>
      <w:szCs w:val="22"/>
      <w:lang w:val="en-GB" w:eastAsia="x-none"/>
    </w:rPr>
  </w:style>
  <w:style w:type="character" w:customStyle="1" w:styleId="RAN1bullet2Char">
    <w:name w:val="RAN1 bullet2 Char"/>
    <w:link w:val="RAN1bullet2"/>
    <w:rsid w:val="00F63DA0"/>
    <w:rPr>
      <w:rFonts w:ascii="Times" w:eastAsia="Batang" w:hAnsi="Times"/>
      <w:sz w:val="22"/>
      <w:lang w:eastAsia="en-US"/>
    </w:rPr>
  </w:style>
  <w:style w:type="character" w:customStyle="1" w:styleId="TACChar">
    <w:name w:val="TAC Char"/>
    <w:link w:val="TAC"/>
    <w:locked/>
    <w:rsid w:val="00257794"/>
    <w:rPr>
      <w:rFonts w:ascii="Arial" w:hAnsi="Arial"/>
      <w:sz w:val="18"/>
      <w:lang w:val="en-GB" w:eastAsia="en-US"/>
    </w:rPr>
  </w:style>
  <w:style w:type="character" w:customStyle="1" w:styleId="TAHCar">
    <w:name w:val="TAH Car"/>
    <w:link w:val="TAH"/>
    <w:qFormat/>
    <w:rsid w:val="00257794"/>
    <w:rPr>
      <w:rFonts w:ascii="Arial" w:hAnsi="Arial"/>
      <w:b/>
      <w:sz w:val="18"/>
      <w:lang w:val="en-GB" w:eastAsia="en-US"/>
    </w:rPr>
  </w:style>
  <w:style w:type="character" w:customStyle="1" w:styleId="B1Zchn">
    <w:name w:val="B1 Zchn"/>
    <w:qFormat/>
    <w:rsid w:val="00B26A9C"/>
    <w:rPr>
      <w:lang w:eastAsia="en-US"/>
    </w:rPr>
  </w:style>
  <w:style w:type="paragraph" w:customStyle="1" w:styleId="text">
    <w:name w:val="text"/>
    <w:basedOn w:val="Normal"/>
    <w:link w:val="textChar"/>
    <w:qFormat/>
    <w:rsid w:val="00DB6D1D"/>
    <w:pPr>
      <w:widowControl w:val="0"/>
      <w:spacing w:after="240"/>
      <w:jc w:val="both"/>
    </w:pPr>
    <w:rPr>
      <w:rFonts w:ascii="Calibri" w:eastAsia="SimSun" w:hAnsi="Calibri"/>
      <w:kern w:val="2"/>
      <w:sz w:val="24"/>
      <w:lang w:eastAsia="zh-CN"/>
    </w:rPr>
  </w:style>
  <w:style w:type="character" w:customStyle="1" w:styleId="textChar">
    <w:name w:val="text Char"/>
    <w:link w:val="text"/>
    <w:rsid w:val="00DB6D1D"/>
    <w:rPr>
      <w:rFonts w:ascii="Calibri" w:eastAsia="SimSun" w:hAnsi="Calibri"/>
      <w:kern w:val="2"/>
      <w:sz w:val="24"/>
    </w:rPr>
  </w:style>
  <w:style w:type="character" w:customStyle="1" w:styleId="bullet2Char">
    <w:name w:val="bullet2 Char"/>
    <w:link w:val="bullet2"/>
    <w:rsid w:val="00DB6D1D"/>
    <w:rPr>
      <w:rFonts w:ascii="Times" w:eastAsia="SimSun" w:hAnsi="Times"/>
      <w:kern w:val="2"/>
      <w:sz w:val="24"/>
      <w:szCs w:val="24"/>
      <w:lang w:val="en-GB" w:eastAsia="zh-CN"/>
    </w:rPr>
  </w:style>
  <w:style w:type="character" w:customStyle="1" w:styleId="BoldCommentsChar">
    <w:name w:val="Bold Comments Char"/>
    <w:link w:val="BoldComments"/>
    <w:rsid w:val="00263AA3"/>
    <w:rPr>
      <w:rFonts w:ascii="Arial" w:eastAsia="MS Mincho" w:hAnsi="Arial"/>
      <w:b/>
      <w:szCs w:val="24"/>
    </w:rPr>
  </w:style>
  <w:style w:type="paragraph" w:customStyle="1" w:styleId="BoldComments">
    <w:name w:val="Bold Comments"/>
    <w:basedOn w:val="Normal"/>
    <w:link w:val="BoldCommentsChar"/>
    <w:qFormat/>
    <w:rsid w:val="00263AA3"/>
    <w:pPr>
      <w:spacing w:before="240" w:after="60"/>
      <w:outlineLvl w:val="8"/>
    </w:pPr>
    <w:rPr>
      <w:rFonts w:ascii="Arial" w:eastAsia="MS Mincho" w:hAnsi="Arial"/>
      <w:b/>
      <w:szCs w:val="24"/>
      <w:lang w:eastAsia="zh-CN"/>
    </w:rPr>
  </w:style>
  <w:style w:type="paragraph" w:customStyle="1" w:styleId="LGTdoc">
    <w:name w:val="LGTdoc_본문"/>
    <w:basedOn w:val="Normal"/>
    <w:link w:val="LGTdocChar"/>
    <w:qFormat/>
    <w:rsid w:val="00F31793"/>
    <w:pPr>
      <w:widowControl w:val="0"/>
      <w:autoSpaceDE w:val="0"/>
      <w:autoSpaceDN w:val="0"/>
      <w:adjustRightInd w:val="0"/>
      <w:snapToGrid w:val="0"/>
      <w:spacing w:afterLines="50" w:after="0" w:line="264" w:lineRule="auto"/>
      <w:jc w:val="both"/>
    </w:pPr>
    <w:rPr>
      <w:rFonts w:eastAsia="Batang"/>
      <w:kern w:val="2"/>
      <w:szCs w:val="24"/>
      <w:lang w:val="en-GB" w:eastAsia="ko-KR"/>
    </w:rPr>
  </w:style>
  <w:style w:type="character" w:customStyle="1" w:styleId="LGTdocChar">
    <w:name w:val="LGTdoc_본문 Char"/>
    <w:link w:val="LGTdoc"/>
    <w:qFormat/>
    <w:rsid w:val="00F31793"/>
    <w:rPr>
      <w:rFonts w:eastAsia="Batang"/>
      <w:kern w:val="2"/>
      <w:sz w:val="22"/>
      <w:szCs w:val="24"/>
      <w:lang w:val="en-GB" w:eastAsia="ko-KR"/>
    </w:rPr>
  </w:style>
  <w:style w:type="paragraph" w:styleId="CommentSubject">
    <w:name w:val="annotation subject"/>
    <w:basedOn w:val="CommentText"/>
    <w:next w:val="CommentText"/>
    <w:link w:val="CommentSubjectChar"/>
    <w:rsid w:val="00645A26"/>
    <w:rPr>
      <w:b/>
      <w:bCs/>
      <w:sz w:val="20"/>
    </w:rPr>
  </w:style>
  <w:style w:type="character" w:customStyle="1" w:styleId="CommentTextChar">
    <w:name w:val="Comment Text Char"/>
    <w:link w:val="CommentText"/>
    <w:uiPriority w:val="99"/>
    <w:qFormat/>
    <w:rsid w:val="00645A26"/>
    <w:rPr>
      <w:sz w:val="22"/>
      <w:lang w:eastAsia="en-US"/>
    </w:rPr>
  </w:style>
  <w:style w:type="character" w:customStyle="1" w:styleId="CommentSubjectChar">
    <w:name w:val="Comment Subject Char"/>
    <w:link w:val="CommentSubject"/>
    <w:rsid w:val="00645A26"/>
    <w:rPr>
      <w:b/>
      <w:bCs/>
      <w:sz w:val="22"/>
      <w:lang w:eastAsia="en-US"/>
    </w:rPr>
  </w:style>
  <w:style w:type="paragraph" w:customStyle="1" w:styleId="Doc-text2">
    <w:name w:val="Doc-text2"/>
    <w:basedOn w:val="Normal"/>
    <w:link w:val="Doc-text2Char"/>
    <w:qFormat/>
    <w:rsid w:val="001A0BB8"/>
    <w:pPr>
      <w:tabs>
        <w:tab w:val="left" w:pos="1622"/>
      </w:tabs>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1A0BB8"/>
    <w:rPr>
      <w:rFonts w:ascii="Arial" w:eastAsia="MS Mincho" w:hAnsi="Arial"/>
      <w:szCs w:val="24"/>
      <w:lang w:val="en-GB" w:eastAsia="en-GB"/>
    </w:rPr>
  </w:style>
  <w:style w:type="paragraph" w:customStyle="1" w:styleId="0Maintext">
    <w:name w:val="0 Main text"/>
    <w:basedOn w:val="Normal"/>
    <w:link w:val="0MaintextChar"/>
    <w:qFormat/>
    <w:rsid w:val="007D33BC"/>
    <w:pPr>
      <w:spacing w:after="100" w:afterAutospacing="1" w:line="288" w:lineRule="auto"/>
      <w:ind w:firstLine="360"/>
      <w:jc w:val="both"/>
    </w:pPr>
    <w:rPr>
      <w:rFonts w:eastAsia="Malgun Gothic" w:cs="Batang"/>
      <w:sz w:val="20"/>
      <w:lang w:val="en-GB"/>
    </w:rPr>
  </w:style>
  <w:style w:type="character" w:customStyle="1" w:styleId="0MaintextChar">
    <w:name w:val="0 Main text Char"/>
    <w:link w:val="0Maintext"/>
    <w:rsid w:val="007D33BC"/>
    <w:rPr>
      <w:rFonts w:eastAsia="Malgun Gothic" w:cs="Batang"/>
      <w:lang w:val="en-GB" w:eastAsia="en-US"/>
    </w:rPr>
  </w:style>
  <w:style w:type="character" w:styleId="Emphasis">
    <w:name w:val="Emphasis"/>
    <w:uiPriority w:val="20"/>
    <w:qFormat/>
    <w:rsid w:val="00CA2F98"/>
    <w:rPr>
      <w:i/>
      <w:iCs/>
    </w:rPr>
  </w:style>
  <w:style w:type="character" w:customStyle="1" w:styleId="B2Char">
    <w:name w:val="B2 Char"/>
    <w:basedOn w:val="DefaultParagraphFont"/>
    <w:link w:val="B2"/>
    <w:qFormat/>
    <w:locked/>
    <w:rsid w:val="00AF0399"/>
    <w:rPr>
      <w:sz w:val="22"/>
      <w:lang w:eastAsia="en-US"/>
    </w:rPr>
  </w:style>
  <w:style w:type="character" w:customStyle="1" w:styleId="B3Char">
    <w:name w:val="B3 Char"/>
    <w:basedOn w:val="DefaultParagraphFont"/>
    <w:link w:val="B3"/>
    <w:locked/>
    <w:rsid w:val="00AF0399"/>
    <w:rPr>
      <w:sz w:val="22"/>
      <w:lang w:eastAsia="en-US"/>
    </w:rPr>
  </w:style>
  <w:style w:type="character" w:customStyle="1" w:styleId="a">
    <w:name w:val="清單段落 字元"/>
    <w:aliases w:val="- Bullets 字元,목록 단락 字元,リスト段落 字元,列出段落 字元,?? ?? 字元,????? 字元,???? 字元,Lista1 字元,中等深浅网格 1 - 着色 21 字元,列表段落 字元,¥¡¡¡¡ì¬º¥¹¥È¶ÎÂä 字元,ÁÐ³ö¶ÎÂä 字元,列表段落1 字元,—ño’i—Ž 字元,¥ê¥¹¥È¶ÎÂä 字元,1st level - Bullet List Paragraph 字元,Lettre d'introduction 字元,목록단락 字元"/>
    <w:basedOn w:val="DefaultParagraphFont"/>
    <w:uiPriority w:val="34"/>
    <w:qFormat/>
    <w:locked/>
    <w:rsid w:val="00F12B48"/>
    <w:rPr>
      <w:rFonts w:ascii="Calibri" w:hAnsi="Calibri" w:cs="Calibri"/>
    </w:rPr>
  </w:style>
  <w:style w:type="table" w:customStyle="1" w:styleId="TableGrid1">
    <w:name w:val="Table Grid1"/>
    <w:basedOn w:val="TableNormal"/>
    <w:next w:val="TableGrid"/>
    <w:uiPriority w:val="39"/>
    <w:rsid w:val="0095193C"/>
    <w:pPr>
      <w:spacing w:after="180"/>
    </w:pPr>
    <w:rPr>
      <w:rFonts w:eastAsia="Batang"/>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DefaultParagraphFont"/>
    <w:locked/>
    <w:rsid w:val="00AF7835"/>
  </w:style>
  <w:style w:type="character" w:customStyle="1" w:styleId="Heading5Char">
    <w:name w:val="Heading 5 Char"/>
    <w:basedOn w:val="DefaultParagraphFont"/>
    <w:link w:val="Heading5"/>
    <w:rsid w:val="005754E4"/>
    <w:rPr>
      <w:rFonts w:ascii="Arial" w:hAnsi="Arial"/>
      <w:sz w:val="22"/>
      <w:lang w:val="en-GB" w:eastAsia="en-US"/>
    </w:rPr>
  </w:style>
  <w:style w:type="character" w:styleId="PlaceholderText">
    <w:name w:val="Placeholder Text"/>
    <w:basedOn w:val="DefaultParagraphFont"/>
    <w:uiPriority w:val="99"/>
    <w:semiHidden/>
    <w:rsid w:val="0079585A"/>
    <w:rPr>
      <w:color w:val="808080"/>
    </w:rPr>
  </w:style>
  <w:style w:type="paragraph" w:customStyle="1" w:styleId="a0">
    <w:name w:val="a0"/>
    <w:basedOn w:val="Normal"/>
    <w:uiPriority w:val="99"/>
    <w:rsid w:val="008D4BA0"/>
    <w:pPr>
      <w:spacing w:before="100" w:beforeAutospacing="1" w:after="100" w:afterAutospacing="1"/>
    </w:pPr>
    <w:rPr>
      <w:rFonts w:ascii="Calibri" w:eastAsia="Calibri" w:hAnsi="Calibri" w:cs="Calibri"/>
      <w:szCs w:val="22"/>
    </w:rPr>
  </w:style>
  <w:style w:type="character" w:styleId="Strong">
    <w:name w:val="Strong"/>
    <w:uiPriority w:val="22"/>
    <w:qFormat/>
    <w:rsid w:val="00F00298"/>
    <w:rPr>
      <w:b/>
      <w:bCs/>
    </w:rPr>
  </w:style>
  <w:style w:type="paragraph" w:customStyle="1" w:styleId="StyleHeading1H1h1appheading1l1MemoHeading1h11h12h13h">
    <w:name w:val="Style Heading 1H1h1app heading 1l1Memo Heading 1h11h12h13h..."/>
    <w:basedOn w:val="Heading1"/>
    <w:rsid w:val="00E33E84"/>
    <w:pPr>
      <w:keepNext w:val="0"/>
      <w:keepLines w:val="0"/>
      <w:widowControl w:val="0"/>
      <w:numPr>
        <w:numId w:val="6"/>
      </w:numPr>
      <w:pBdr>
        <w:top w:val="none" w:sz="0" w:space="0" w:color="auto"/>
      </w:pBdr>
      <w:spacing w:after="60"/>
    </w:pPr>
    <w:rPr>
      <w:rFonts w:ascii="Helvetica" w:eastAsia="Times New Roman" w:hAnsi="Helvetica"/>
      <w:b/>
      <w:bCs/>
      <w:kern w:val="32"/>
      <w:sz w:val="28"/>
      <w:lang w:val="en-US"/>
    </w:rPr>
  </w:style>
  <w:style w:type="character" w:customStyle="1" w:styleId="TALCar">
    <w:name w:val="TAL Car"/>
    <w:qFormat/>
    <w:rsid w:val="0063667A"/>
    <w:rPr>
      <w:rFonts w:ascii="Arial" w:eastAsia="Times New Roman" w:hAnsi="Arial"/>
      <w:sz w:val="18"/>
    </w:rPr>
  </w:style>
  <w:style w:type="paragraph" w:customStyle="1" w:styleId="IEEEStdsRegularTableCaption">
    <w:name w:val="IEEEStds Regular Table Caption"/>
    <w:basedOn w:val="Normal"/>
    <w:next w:val="Normal"/>
    <w:qFormat/>
    <w:rsid w:val="00E726A5"/>
    <w:pPr>
      <w:keepNext/>
      <w:keepLines/>
      <w:numPr>
        <w:numId w:val="9"/>
      </w:numPr>
      <w:tabs>
        <w:tab w:val="clear" w:pos="1080"/>
        <w:tab w:val="left" w:pos="360"/>
        <w:tab w:val="left" w:pos="432"/>
        <w:tab w:val="left" w:pos="504"/>
      </w:tabs>
      <w:suppressAutoHyphens/>
      <w:spacing w:before="120" w:after="120"/>
      <w:jc w:val="center"/>
    </w:pPr>
    <w:rPr>
      <w:rFonts w:ascii="Arial" w:eastAsia="Times New Roman" w:hAnsi="Arial"/>
      <w:b/>
      <w:sz w:val="20"/>
      <w:lang w:eastAsia="ja-JP"/>
    </w:rPr>
  </w:style>
  <w:style w:type="table" w:styleId="GridTable4">
    <w:name w:val="Grid Table 4"/>
    <w:basedOn w:val="TableNormal"/>
    <w:uiPriority w:val="49"/>
    <w:rsid w:val="008F305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8F305C"/>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2">
    <w:name w:val="Grid Table 4 Accent 2"/>
    <w:basedOn w:val="TableNormal"/>
    <w:uiPriority w:val="49"/>
    <w:rsid w:val="008F305C"/>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5">
    <w:name w:val="Grid Table 4 Accent 5"/>
    <w:basedOn w:val="TableNormal"/>
    <w:uiPriority w:val="49"/>
    <w:rsid w:val="008F305C"/>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Heading3Char">
    <w:name w:val="Heading 3 Char"/>
    <w:basedOn w:val="DefaultParagraphFont"/>
    <w:link w:val="Heading3"/>
    <w:rsid w:val="00E07099"/>
    <w:rPr>
      <w:rFonts w:ascii="Arial" w:hAnsi="Arial"/>
      <w:sz w:val="28"/>
      <w:lang w:val="en-GB" w:eastAsia="en-US"/>
    </w:rPr>
  </w:style>
  <w:style w:type="character" w:customStyle="1" w:styleId="ui-provider">
    <w:name w:val="ui-provider"/>
    <w:basedOn w:val="DefaultParagraphFont"/>
    <w:rsid w:val="00C83B73"/>
  </w:style>
  <w:style w:type="character" w:customStyle="1" w:styleId="normaltextrun">
    <w:name w:val="normaltextrun"/>
    <w:basedOn w:val="DefaultParagraphFont"/>
    <w:rsid w:val="003A6576"/>
  </w:style>
  <w:style w:type="character" w:customStyle="1" w:styleId="eop">
    <w:name w:val="eop"/>
    <w:basedOn w:val="DefaultParagraphFont"/>
    <w:rsid w:val="003A65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7898">
      <w:bodyDiv w:val="1"/>
      <w:marLeft w:val="0"/>
      <w:marRight w:val="0"/>
      <w:marTop w:val="0"/>
      <w:marBottom w:val="0"/>
      <w:divBdr>
        <w:top w:val="none" w:sz="0" w:space="0" w:color="auto"/>
        <w:left w:val="none" w:sz="0" w:space="0" w:color="auto"/>
        <w:bottom w:val="none" w:sz="0" w:space="0" w:color="auto"/>
        <w:right w:val="none" w:sz="0" w:space="0" w:color="auto"/>
      </w:divBdr>
    </w:div>
    <w:div w:id="20253439">
      <w:bodyDiv w:val="1"/>
      <w:marLeft w:val="0"/>
      <w:marRight w:val="0"/>
      <w:marTop w:val="0"/>
      <w:marBottom w:val="0"/>
      <w:divBdr>
        <w:top w:val="none" w:sz="0" w:space="0" w:color="auto"/>
        <w:left w:val="none" w:sz="0" w:space="0" w:color="auto"/>
        <w:bottom w:val="none" w:sz="0" w:space="0" w:color="auto"/>
        <w:right w:val="none" w:sz="0" w:space="0" w:color="auto"/>
      </w:divBdr>
    </w:div>
    <w:div w:id="36856723">
      <w:bodyDiv w:val="1"/>
      <w:marLeft w:val="0"/>
      <w:marRight w:val="0"/>
      <w:marTop w:val="0"/>
      <w:marBottom w:val="0"/>
      <w:divBdr>
        <w:top w:val="none" w:sz="0" w:space="0" w:color="auto"/>
        <w:left w:val="none" w:sz="0" w:space="0" w:color="auto"/>
        <w:bottom w:val="none" w:sz="0" w:space="0" w:color="auto"/>
        <w:right w:val="none" w:sz="0" w:space="0" w:color="auto"/>
      </w:divBdr>
      <w:divsChild>
        <w:div w:id="1242057403">
          <w:marLeft w:val="1166"/>
          <w:marRight w:val="0"/>
          <w:marTop w:val="96"/>
          <w:marBottom w:val="0"/>
          <w:divBdr>
            <w:top w:val="none" w:sz="0" w:space="0" w:color="auto"/>
            <w:left w:val="none" w:sz="0" w:space="0" w:color="auto"/>
            <w:bottom w:val="none" w:sz="0" w:space="0" w:color="auto"/>
            <w:right w:val="none" w:sz="0" w:space="0" w:color="auto"/>
          </w:divBdr>
        </w:div>
      </w:divsChild>
    </w:div>
    <w:div w:id="45422833">
      <w:bodyDiv w:val="1"/>
      <w:marLeft w:val="0"/>
      <w:marRight w:val="0"/>
      <w:marTop w:val="0"/>
      <w:marBottom w:val="0"/>
      <w:divBdr>
        <w:top w:val="none" w:sz="0" w:space="0" w:color="auto"/>
        <w:left w:val="none" w:sz="0" w:space="0" w:color="auto"/>
        <w:bottom w:val="none" w:sz="0" w:space="0" w:color="auto"/>
        <w:right w:val="none" w:sz="0" w:space="0" w:color="auto"/>
      </w:divBdr>
    </w:div>
    <w:div w:id="51586108">
      <w:bodyDiv w:val="1"/>
      <w:marLeft w:val="0"/>
      <w:marRight w:val="0"/>
      <w:marTop w:val="0"/>
      <w:marBottom w:val="0"/>
      <w:divBdr>
        <w:top w:val="none" w:sz="0" w:space="0" w:color="auto"/>
        <w:left w:val="none" w:sz="0" w:space="0" w:color="auto"/>
        <w:bottom w:val="none" w:sz="0" w:space="0" w:color="auto"/>
        <w:right w:val="none" w:sz="0" w:space="0" w:color="auto"/>
      </w:divBdr>
    </w:div>
    <w:div w:id="71897677">
      <w:bodyDiv w:val="1"/>
      <w:marLeft w:val="0"/>
      <w:marRight w:val="0"/>
      <w:marTop w:val="0"/>
      <w:marBottom w:val="0"/>
      <w:divBdr>
        <w:top w:val="none" w:sz="0" w:space="0" w:color="auto"/>
        <w:left w:val="none" w:sz="0" w:space="0" w:color="auto"/>
        <w:bottom w:val="none" w:sz="0" w:space="0" w:color="auto"/>
        <w:right w:val="none" w:sz="0" w:space="0" w:color="auto"/>
      </w:divBdr>
    </w:div>
    <w:div w:id="182132197">
      <w:bodyDiv w:val="1"/>
      <w:marLeft w:val="0"/>
      <w:marRight w:val="0"/>
      <w:marTop w:val="0"/>
      <w:marBottom w:val="0"/>
      <w:divBdr>
        <w:top w:val="none" w:sz="0" w:space="0" w:color="auto"/>
        <w:left w:val="none" w:sz="0" w:space="0" w:color="auto"/>
        <w:bottom w:val="none" w:sz="0" w:space="0" w:color="auto"/>
        <w:right w:val="none" w:sz="0" w:space="0" w:color="auto"/>
      </w:divBdr>
    </w:div>
    <w:div w:id="197087304">
      <w:bodyDiv w:val="1"/>
      <w:marLeft w:val="0"/>
      <w:marRight w:val="0"/>
      <w:marTop w:val="0"/>
      <w:marBottom w:val="0"/>
      <w:divBdr>
        <w:top w:val="none" w:sz="0" w:space="0" w:color="auto"/>
        <w:left w:val="none" w:sz="0" w:space="0" w:color="auto"/>
        <w:bottom w:val="none" w:sz="0" w:space="0" w:color="auto"/>
        <w:right w:val="none" w:sz="0" w:space="0" w:color="auto"/>
      </w:divBdr>
      <w:divsChild>
        <w:div w:id="982152279">
          <w:marLeft w:val="547"/>
          <w:marRight w:val="0"/>
          <w:marTop w:val="0"/>
          <w:marBottom w:val="0"/>
          <w:divBdr>
            <w:top w:val="none" w:sz="0" w:space="0" w:color="auto"/>
            <w:left w:val="none" w:sz="0" w:space="0" w:color="auto"/>
            <w:bottom w:val="none" w:sz="0" w:space="0" w:color="auto"/>
            <w:right w:val="none" w:sz="0" w:space="0" w:color="auto"/>
          </w:divBdr>
        </w:div>
        <w:div w:id="1199244501">
          <w:marLeft w:val="1166"/>
          <w:marRight w:val="0"/>
          <w:marTop w:val="0"/>
          <w:marBottom w:val="0"/>
          <w:divBdr>
            <w:top w:val="none" w:sz="0" w:space="0" w:color="auto"/>
            <w:left w:val="none" w:sz="0" w:space="0" w:color="auto"/>
            <w:bottom w:val="none" w:sz="0" w:space="0" w:color="auto"/>
            <w:right w:val="none" w:sz="0" w:space="0" w:color="auto"/>
          </w:divBdr>
        </w:div>
        <w:div w:id="10575321">
          <w:marLeft w:val="547"/>
          <w:marRight w:val="0"/>
          <w:marTop w:val="0"/>
          <w:marBottom w:val="0"/>
          <w:divBdr>
            <w:top w:val="none" w:sz="0" w:space="0" w:color="auto"/>
            <w:left w:val="none" w:sz="0" w:space="0" w:color="auto"/>
            <w:bottom w:val="none" w:sz="0" w:space="0" w:color="auto"/>
            <w:right w:val="none" w:sz="0" w:space="0" w:color="auto"/>
          </w:divBdr>
        </w:div>
        <w:div w:id="1749690614">
          <w:marLeft w:val="547"/>
          <w:marRight w:val="0"/>
          <w:marTop w:val="0"/>
          <w:marBottom w:val="0"/>
          <w:divBdr>
            <w:top w:val="none" w:sz="0" w:space="0" w:color="auto"/>
            <w:left w:val="none" w:sz="0" w:space="0" w:color="auto"/>
            <w:bottom w:val="none" w:sz="0" w:space="0" w:color="auto"/>
            <w:right w:val="none" w:sz="0" w:space="0" w:color="auto"/>
          </w:divBdr>
        </w:div>
      </w:divsChild>
    </w:div>
    <w:div w:id="215624405">
      <w:bodyDiv w:val="1"/>
      <w:marLeft w:val="0"/>
      <w:marRight w:val="0"/>
      <w:marTop w:val="0"/>
      <w:marBottom w:val="0"/>
      <w:divBdr>
        <w:top w:val="none" w:sz="0" w:space="0" w:color="auto"/>
        <w:left w:val="none" w:sz="0" w:space="0" w:color="auto"/>
        <w:bottom w:val="none" w:sz="0" w:space="0" w:color="auto"/>
        <w:right w:val="none" w:sz="0" w:space="0" w:color="auto"/>
      </w:divBdr>
    </w:div>
    <w:div w:id="225995224">
      <w:bodyDiv w:val="1"/>
      <w:marLeft w:val="0"/>
      <w:marRight w:val="0"/>
      <w:marTop w:val="0"/>
      <w:marBottom w:val="0"/>
      <w:divBdr>
        <w:top w:val="none" w:sz="0" w:space="0" w:color="auto"/>
        <w:left w:val="none" w:sz="0" w:space="0" w:color="auto"/>
        <w:bottom w:val="none" w:sz="0" w:space="0" w:color="auto"/>
        <w:right w:val="none" w:sz="0" w:space="0" w:color="auto"/>
      </w:divBdr>
    </w:div>
    <w:div w:id="239684241">
      <w:bodyDiv w:val="1"/>
      <w:marLeft w:val="0"/>
      <w:marRight w:val="0"/>
      <w:marTop w:val="0"/>
      <w:marBottom w:val="0"/>
      <w:divBdr>
        <w:top w:val="none" w:sz="0" w:space="0" w:color="auto"/>
        <w:left w:val="none" w:sz="0" w:space="0" w:color="auto"/>
        <w:bottom w:val="none" w:sz="0" w:space="0" w:color="auto"/>
        <w:right w:val="none" w:sz="0" w:space="0" w:color="auto"/>
      </w:divBdr>
    </w:div>
    <w:div w:id="241449088">
      <w:bodyDiv w:val="1"/>
      <w:marLeft w:val="0"/>
      <w:marRight w:val="0"/>
      <w:marTop w:val="0"/>
      <w:marBottom w:val="0"/>
      <w:divBdr>
        <w:top w:val="none" w:sz="0" w:space="0" w:color="auto"/>
        <w:left w:val="none" w:sz="0" w:space="0" w:color="auto"/>
        <w:bottom w:val="none" w:sz="0" w:space="0" w:color="auto"/>
        <w:right w:val="none" w:sz="0" w:space="0" w:color="auto"/>
      </w:divBdr>
      <w:divsChild>
        <w:div w:id="1392263907">
          <w:marLeft w:val="547"/>
          <w:marRight w:val="0"/>
          <w:marTop w:val="0"/>
          <w:marBottom w:val="0"/>
          <w:divBdr>
            <w:top w:val="none" w:sz="0" w:space="0" w:color="auto"/>
            <w:left w:val="none" w:sz="0" w:space="0" w:color="auto"/>
            <w:bottom w:val="none" w:sz="0" w:space="0" w:color="auto"/>
            <w:right w:val="none" w:sz="0" w:space="0" w:color="auto"/>
          </w:divBdr>
        </w:div>
      </w:divsChild>
    </w:div>
    <w:div w:id="272707636">
      <w:bodyDiv w:val="1"/>
      <w:marLeft w:val="0"/>
      <w:marRight w:val="0"/>
      <w:marTop w:val="0"/>
      <w:marBottom w:val="0"/>
      <w:divBdr>
        <w:top w:val="none" w:sz="0" w:space="0" w:color="auto"/>
        <w:left w:val="none" w:sz="0" w:space="0" w:color="auto"/>
        <w:bottom w:val="none" w:sz="0" w:space="0" w:color="auto"/>
        <w:right w:val="none" w:sz="0" w:space="0" w:color="auto"/>
      </w:divBdr>
    </w:div>
    <w:div w:id="277378450">
      <w:bodyDiv w:val="1"/>
      <w:marLeft w:val="0"/>
      <w:marRight w:val="0"/>
      <w:marTop w:val="0"/>
      <w:marBottom w:val="0"/>
      <w:divBdr>
        <w:top w:val="none" w:sz="0" w:space="0" w:color="auto"/>
        <w:left w:val="none" w:sz="0" w:space="0" w:color="auto"/>
        <w:bottom w:val="none" w:sz="0" w:space="0" w:color="auto"/>
        <w:right w:val="none" w:sz="0" w:space="0" w:color="auto"/>
      </w:divBdr>
    </w:div>
    <w:div w:id="308705348">
      <w:bodyDiv w:val="1"/>
      <w:marLeft w:val="0"/>
      <w:marRight w:val="0"/>
      <w:marTop w:val="0"/>
      <w:marBottom w:val="0"/>
      <w:divBdr>
        <w:top w:val="none" w:sz="0" w:space="0" w:color="auto"/>
        <w:left w:val="none" w:sz="0" w:space="0" w:color="auto"/>
        <w:bottom w:val="none" w:sz="0" w:space="0" w:color="auto"/>
        <w:right w:val="none" w:sz="0" w:space="0" w:color="auto"/>
      </w:divBdr>
      <w:divsChild>
        <w:div w:id="1183207547">
          <w:marLeft w:val="274"/>
          <w:marRight w:val="0"/>
          <w:marTop w:val="0"/>
          <w:marBottom w:val="0"/>
          <w:divBdr>
            <w:top w:val="none" w:sz="0" w:space="0" w:color="auto"/>
            <w:left w:val="none" w:sz="0" w:space="0" w:color="auto"/>
            <w:bottom w:val="none" w:sz="0" w:space="0" w:color="auto"/>
            <w:right w:val="none" w:sz="0" w:space="0" w:color="auto"/>
          </w:divBdr>
        </w:div>
        <w:div w:id="1214580690">
          <w:marLeft w:val="274"/>
          <w:marRight w:val="0"/>
          <w:marTop w:val="0"/>
          <w:marBottom w:val="0"/>
          <w:divBdr>
            <w:top w:val="none" w:sz="0" w:space="0" w:color="auto"/>
            <w:left w:val="none" w:sz="0" w:space="0" w:color="auto"/>
            <w:bottom w:val="none" w:sz="0" w:space="0" w:color="auto"/>
            <w:right w:val="none" w:sz="0" w:space="0" w:color="auto"/>
          </w:divBdr>
        </w:div>
        <w:div w:id="357513255">
          <w:marLeft w:val="1166"/>
          <w:marRight w:val="0"/>
          <w:marTop w:val="0"/>
          <w:marBottom w:val="0"/>
          <w:divBdr>
            <w:top w:val="none" w:sz="0" w:space="0" w:color="auto"/>
            <w:left w:val="none" w:sz="0" w:space="0" w:color="auto"/>
            <w:bottom w:val="none" w:sz="0" w:space="0" w:color="auto"/>
            <w:right w:val="none" w:sz="0" w:space="0" w:color="auto"/>
          </w:divBdr>
        </w:div>
        <w:div w:id="861094776">
          <w:marLeft w:val="1166"/>
          <w:marRight w:val="0"/>
          <w:marTop w:val="0"/>
          <w:marBottom w:val="0"/>
          <w:divBdr>
            <w:top w:val="none" w:sz="0" w:space="0" w:color="auto"/>
            <w:left w:val="none" w:sz="0" w:space="0" w:color="auto"/>
            <w:bottom w:val="none" w:sz="0" w:space="0" w:color="auto"/>
            <w:right w:val="none" w:sz="0" w:space="0" w:color="auto"/>
          </w:divBdr>
        </w:div>
        <w:div w:id="834538519">
          <w:marLeft w:val="1166"/>
          <w:marRight w:val="0"/>
          <w:marTop w:val="0"/>
          <w:marBottom w:val="0"/>
          <w:divBdr>
            <w:top w:val="none" w:sz="0" w:space="0" w:color="auto"/>
            <w:left w:val="none" w:sz="0" w:space="0" w:color="auto"/>
            <w:bottom w:val="none" w:sz="0" w:space="0" w:color="auto"/>
            <w:right w:val="none" w:sz="0" w:space="0" w:color="auto"/>
          </w:divBdr>
        </w:div>
        <w:div w:id="2045934058">
          <w:marLeft w:val="274"/>
          <w:marRight w:val="0"/>
          <w:marTop w:val="0"/>
          <w:marBottom w:val="0"/>
          <w:divBdr>
            <w:top w:val="none" w:sz="0" w:space="0" w:color="auto"/>
            <w:left w:val="none" w:sz="0" w:space="0" w:color="auto"/>
            <w:bottom w:val="none" w:sz="0" w:space="0" w:color="auto"/>
            <w:right w:val="none" w:sz="0" w:space="0" w:color="auto"/>
          </w:divBdr>
        </w:div>
        <w:div w:id="723527960">
          <w:marLeft w:val="274"/>
          <w:marRight w:val="0"/>
          <w:marTop w:val="0"/>
          <w:marBottom w:val="0"/>
          <w:divBdr>
            <w:top w:val="none" w:sz="0" w:space="0" w:color="auto"/>
            <w:left w:val="none" w:sz="0" w:space="0" w:color="auto"/>
            <w:bottom w:val="none" w:sz="0" w:space="0" w:color="auto"/>
            <w:right w:val="none" w:sz="0" w:space="0" w:color="auto"/>
          </w:divBdr>
        </w:div>
        <w:div w:id="19667162">
          <w:marLeft w:val="1166"/>
          <w:marRight w:val="0"/>
          <w:marTop w:val="0"/>
          <w:marBottom w:val="0"/>
          <w:divBdr>
            <w:top w:val="none" w:sz="0" w:space="0" w:color="auto"/>
            <w:left w:val="none" w:sz="0" w:space="0" w:color="auto"/>
            <w:bottom w:val="none" w:sz="0" w:space="0" w:color="auto"/>
            <w:right w:val="none" w:sz="0" w:space="0" w:color="auto"/>
          </w:divBdr>
        </w:div>
        <w:div w:id="422457942">
          <w:marLeft w:val="1166"/>
          <w:marRight w:val="0"/>
          <w:marTop w:val="0"/>
          <w:marBottom w:val="0"/>
          <w:divBdr>
            <w:top w:val="none" w:sz="0" w:space="0" w:color="auto"/>
            <w:left w:val="none" w:sz="0" w:space="0" w:color="auto"/>
            <w:bottom w:val="none" w:sz="0" w:space="0" w:color="auto"/>
            <w:right w:val="none" w:sz="0" w:space="0" w:color="auto"/>
          </w:divBdr>
        </w:div>
        <w:div w:id="942301274">
          <w:marLeft w:val="1166"/>
          <w:marRight w:val="0"/>
          <w:marTop w:val="0"/>
          <w:marBottom w:val="0"/>
          <w:divBdr>
            <w:top w:val="none" w:sz="0" w:space="0" w:color="auto"/>
            <w:left w:val="none" w:sz="0" w:space="0" w:color="auto"/>
            <w:bottom w:val="none" w:sz="0" w:space="0" w:color="auto"/>
            <w:right w:val="none" w:sz="0" w:space="0" w:color="auto"/>
          </w:divBdr>
        </w:div>
        <w:div w:id="1117407815">
          <w:marLeft w:val="1166"/>
          <w:marRight w:val="0"/>
          <w:marTop w:val="0"/>
          <w:marBottom w:val="0"/>
          <w:divBdr>
            <w:top w:val="none" w:sz="0" w:space="0" w:color="auto"/>
            <w:left w:val="none" w:sz="0" w:space="0" w:color="auto"/>
            <w:bottom w:val="none" w:sz="0" w:space="0" w:color="auto"/>
            <w:right w:val="none" w:sz="0" w:space="0" w:color="auto"/>
          </w:divBdr>
        </w:div>
        <w:div w:id="71004819">
          <w:marLeft w:val="274"/>
          <w:marRight w:val="0"/>
          <w:marTop w:val="0"/>
          <w:marBottom w:val="0"/>
          <w:divBdr>
            <w:top w:val="none" w:sz="0" w:space="0" w:color="auto"/>
            <w:left w:val="none" w:sz="0" w:space="0" w:color="auto"/>
            <w:bottom w:val="none" w:sz="0" w:space="0" w:color="auto"/>
            <w:right w:val="none" w:sz="0" w:space="0" w:color="auto"/>
          </w:divBdr>
        </w:div>
      </w:divsChild>
    </w:div>
    <w:div w:id="318923394">
      <w:bodyDiv w:val="1"/>
      <w:marLeft w:val="0"/>
      <w:marRight w:val="0"/>
      <w:marTop w:val="0"/>
      <w:marBottom w:val="0"/>
      <w:divBdr>
        <w:top w:val="none" w:sz="0" w:space="0" w:color="auto"/>
        <w:left w:val="none" w:sz="0" w:space="0" w:color="auto"/>
        <w:bottom w:val="none" w:sz="0" w:space="0" w:color="auto"/>
        <w:right w:val="none" w:sz="0" w:space="0" w:color="auto"/>
      </w:divBdr>
    </w:div>
    <w:div w:id="337462577">
      <w:bodyDiv w:val="1"/>
      <w:marLeft w:val="0"/>
      <w:marRight w:val="0"/>
      <w:marTop w:val="0"/>
      <w:marBottom w:val="0"/>
      <w:divBdr>
        <w:top w:val="none" w:sz="0" w:space="0" w:color="auto"/>
        <w:left w:val="none" w:sz="0" w:space="0" w:color="auto"/>
        <w:bottom w:val="none" w:sz="0" w:space="0" w:color="auto"/>
        <w:right w:val="none" w:sz="0" w:space="0" w:color="auto"/>
      </w:divBdr>
      <w:divsChild>
        <w:div w:id="735319802">
          <w:marLeft w:val="432"/>
          <w:marRight w:val="0"/>
          <w:marTop w:val="240"/>
          <w:marBottom w:val="0"/>
          <w:divBdr>
            <w:top w:val="none" w:sz="0" w:space="0" w:color="auto"/>
            <w:left w:val="none" w:sz="0" w:space="0" w:color="auto"/>
            <w:bottom w:val="none" w:sz="0" w:space="0" w:color="auto"/>
            <w:right w:val="none" w:sz="0" w:space="0" w:color="auto"/>
          </w:divBdr>
        </w:div>
      </w:divsChild>
    </w:div>
    <w:div w:id="342978050">
      <w:bodyDiv w:val="1"/>
      <w:marLeft w:val="0"/>
      <w:marRight w:val="0"/>
      <w:marTop w:val="0"/>
      <w:marBottom w:val="0"/>
      <w:divBdr>
        <w:top w:val="none" w:sz="0" w:space="0" w:color="auto"/>
        <w:left w:val="none" w:sz="0" w:space="0" w:color="auto"/>
        <w:bottom w:val="none" w:sz="0" w:space="0" w:color="auto"/>
        <w:right w:val="none" w:sz="0" w:space="0" w:color="auto"/>
      </w:divBdr>
    </w:div>
    <w:div w:id="354161334">
      <w:bodyDiv w:val="1"/>
      <w:marLeft w:val="0"/>
      <w:marRight w:val="0"/>
      <w:marTop w:val="0"/>
      <w:marBottom w:val="0"/>
      <w:divBdr>
        <w:top w:val="none" w:sz="0" w:space="0" w:color="auto"/>
        <w:left w:val="none" w:sz="0" w:space="0" w:color="auto"/>
        <w:bottom w:val="none" w:sz="0" w:space="0" w:color="auto"/>
        <w:right w:val="none" w:sz="0" w:space="0" w:color="auto"/>
      </w:divBdr>
    </w:div>
    <w:div w:id="402024569">
      <w:bodyDiv w:val="1"/>
      <w:marLeft w:val="0"/>
      <w:marRight w:val="0"/>
      <w:marTop w:val="0"/>
      <w:marBottom w:val="0"/>
      <w:divBdr>
        <w:top w:val="none" w:sz="0" w:space="0" w:color="auto"/>
        <w:left w:val="none" w:sz="0" w:space="0" w:color="auto"/>
        <w:bottom w:val="none" w:sz="0" w:space="0" w:color="auto"/>
        <w:right w:val="none" w:sz="0" w:space="0" w:color="auto"/>
      </w:divBdr>
      <w:divsChild>
        <w:div w:id="180630867">
          <w:marLeft w:val="547"/>
          <w:marRight w:val="0"/>
          <w:marTop w:val="0"/>
          <w:marBottom w:val="0"/>
          <w:divBdr>
            <w:top w:val="none" w:sz="0" w:space="0" w:color="auto"/>
            <w:left w:val="none" w:sz="0" w:space="0" w:color="auto"/>
            <w:bottom w:val="none" w:sz="0" w:space="0" w:color="auto"/>
            <w:right w:val="none" w:sz="0" w:space="0" w:color="auto"/>
          </w:divBdr>
        </w:div>
        <w:div w:id="1260485378">
          <w:marLeft w:val="547"/>
          <w:marRight w:val="0"/>
          <w:marTop w:val="0"/>
          <w:marBottom w:val="0"/>
          <w:divBdr>
            <w:top w:val="none" w:sz="0" w:space="0" w:color="auto"/>
            <w:left w:val="none" w:sz="0" w:space="0" w:color="auto"/>
            <w:bottom w:val="none" w:sz="0" w:space="0" w:color="auto"/>
            <w:right w:val="none" w:sz="0" w:space="0" w:color="auto"/>
          </w:divBdr>
        </w:div>
        <w:div w:id="1629049101">
          <w:marLeft w:val="547"/>
          <w:marRight w:val="0"/>
          <w:marTop w:val="0"/>
          <w:marBottom w:val="0"/>
          <w:divBdr>
            <w:top w:val="none" w:sz="0" w:space="0" w:color="auto"/>
            <w:left w:val="none" w:sz="0" w:space="0" w:color="auto"/>
            <w:bottom w:val="none" w:sz="0" w:space="0" w:color="auto"/>
            <w:right w:val="none" w:sz="0" w:space="0" w:color="auto"/>
          </w:divBdr>
        </w:div>
        <w:div w:id="2070108917">
          <w:marLeft w:val="547"/>
          <w:marRight w:val="0"/>
          <w:marTop w:val="0"/>
          <w:marBottom w:val="0"/>
          <w:divBdr>
            <w:top w:val="none" w:sz="0" w:space="0" w:color="auto"/>
            <w:left w:val="none" w:sz="0" w:space="0" w:color="auto"/>
            <w:bottom w:val="none" w:sz="0" w:space="0" w:color="auto"/>
            <w:right w:val="none" w:sz="0" w:space="0" w:color="auto"/>
          </w:divBdr>
        </w:div>
        <w:div w:id="2081363821">
          <w:marLeft w:val="547"/>
          <w:marRight w:val="0"/>
          <w:marTop w:val="0"/>
          <w:marBottom w:val="0"/>
          <w:divBdr>
            <w:top w:val="none" w:sz="0" w:space="0" w:color="auto"/>
            <w:left w:val="none" w:sz="0" w:space="0" w:color="auto"/>
            <w:bottom w:val="none" w:sz="0" w:space="0" w:color="auto"/>
            <w:right w:val="none" w:sz="0" w:space="0" w:color="auto"/>
          </w:divBdr>
        </w:div>
      </w:divsChild>
    </w:div>
    <w:div w:id="420874977">
      <w:bodyDiv w:val="1"/>
      <w:marLeft w:val="0"/>
      <w:marRight w:val="0"/>
      <w:marTop w:val="0"/>
      <w:marBottom w:val="0"/>
      <w:divBdr>
        <w:top w:val="none" w:sz="0" w:space="0" w:color="auto"/>
        <w:left w:val="none" w:sz="0" w:space="0" w:color="auto"/>
        <w:bottom w:val="none" w:sz="0" w:space="0" w:color="auto"/>
        <w:right w:val="none" w:sz="0" w:space="0" w:color="auto"/>
      </w:divBdr>
      <w:divsChild>
        <w:div w:id="967904195">
          <w:marLeft w:val="446"/>
          <w:marRight w:val="0"/>
          <w:marTop w:val="0"/>
          <w:marBottom w:val="0"/>
          <w:divBdr>
            <w:top w:val="none" w:sz="0" w:space="0" w:color="auto"/>
            <w:left w:val="none" w:sz="0" w:space="0" w:color="auto"/>
            <w:bottom w:val="none" w:sz="0" w:space="0" w:color="auto"/>
            <w:right w:val="none" w:sz="0" w:space="0" w:color="auto"/>
          </w:divBdr>
        </w:div>
        <w:div w:id="610288243">
          <w:marLeft w:val="446"/>
          <w:marRight w:val="0"/>
          <w:marTop w:val="0"/>
          <w:marBottom w:val="0"/>
          <w:divBdr>
            <w:top w:val="none" w:sz="0" w:space="0" w:color="auto"/>
            <w:left w:val="none" w:sz="0" w:space="0" w:color="auto"/>
            <w:bottom w:val="none" w:sz="0" w:space="0" w:color="auto"/>
            <w:right w:val="none" w:sz="0" w:space="0" w:color="auto"/>
          </w:divBdr>
        </w:div>
        <w:div w:id="144782530">
          <w:marLeft w:val="446"/>
          <w:marRight w:val="0"/>
          <w:marTop w:val="0"/>
          <w:marBottom w:val="0"/>
          <w:divBdr>
            <w:top w:val="none" w:sz="0" w:space="0" w:color="auto"/>
            <w:left w:val="none" w:sz="0" w:space="0" w:color="auto"/>
            <w:bottom w:val="none" w:sz="0" w:space="0" w:color="auto"/>
            <w:right w:val="none" w:sz="0" w:space="0" w:color="auto"/>
          </w:divBdr>
        </w:div>
        <w:div w:id="1066301349">
          <w:marLeft w:val="446"/>
          <w:marRight w:val="0"/>
          <w:marTop w:val="0"/>
          <w:marBottom w:val="0"/>
          <w:divBdr>
            <w:top w:val="none" w:sz="0" w:space="0" w:color="auto"/>
            <w:left w:val="none" w:sz="0" w:space="0" w:color="auto"/>
            <w:bottom w:val="none" w:sz="0" w:space="0" w:color="auto"/>
            <w:right w:val="none" w:sz="0" w:space="0" w:color="auto"/>
          </w:divBdr>
        </w:div>
      </w:divsChild>
    </w:div>
    <w:div w:id="421488870">
      <w:bodyDiv w:val="1"/>
      <w:marLeft w:val="0"/>
      <w:marRight w:val="0"/>
      <w:marTop w:val="0"/>
      <w:marBottom w:val="0"/>
      <w:divBdr>
        <w:top w:val="none" w:sz="0" w:space="0" w:color="auto"/>
        <w:left w:val="none" w:sz="0" w:space="0" w:color="auto"/>
        <w:bottom w:val="none" w:sz="0" w:space="0" w:color="auto"/>
        <w:right w:val="none" w:sz="0" w:space="0" w:color="auto"/>
      </w:divBdr>
      <w:divsChild>
        <w:div w:id="1133597823">
          <w:marLeft w:val="547"/>
          <w:marRight w:val="0"/>
          <w:marTop w:val="0"/>
          <w:marBottom w:val="0"/>
          <w:divBdr>
            <w:top w:val="none" w:sz="0" w:space="0" w:color="auto"/>
            <w:left w:val="none" w:sz="0" w:space="0" w:color="auto"/>
            <w:bottom w:val="none" w:sz="0" w:space="0" w:color="auto"/>
            <w:right w:val="none" w:sz="0" w:space="0" w:color="auto"/>
          </w:divBdr>
        </w:div>
        <w:div w:id="2098987197">
          <w:marLeft w:val="547"/>
          <w:marRight w:val="0"/>
          <w:marTop w:val="0"/>
          <w:marBottom w:val="0"/>
          <w:divBdr>
            <w:top w:val="none" w:sz="0" w:space="0" w:color="auto"/>
            <w:left w:val="none" w:sz="0" w:space="0" w:color="auto"/>
            <w:bottom w:val="none" w:sz="0" w:space="0" w:color="auto"/>
            <w:right w:val="none" w:sz="0" w:space="0" w:color="auto"/>
          </w:divBdr>
        </w:div>
        <w:div w:id="1834373741">
          <w:marLeft w:val="547"/>
          <w:marRight w:val="0"/>
          <w:marTop w:val="0"/>
          <w:marBottom w:val="0"/>
          <w:divBdr>
            <w:top w:val="none" w:sz="0" w:space="0" w:color="auto"/>
            <w:left w:val="none" w:sz="0" w:space="0" w:color="auto"/>
            <w:bottom w:val="none" w:sz="0" w:space="0" w:color="auto"/>
            <w:right w:val="none" w:sz="0" w:space="0" w:color="auto"/>
          </w:divBdr>
        </w:div>
        <w:div w:id="1724136045">
          <w:marLeft w:val="547"/>
          <w:marRight w:val="0"/>
          <w:marTop w:val="0"/>
          <w:marBottom w:val="0"/>
          <w:divBdr>
            <w:top w:val="none" w:sz="0" w:space="0" w:color="auto"/>
            <w:left w:val="none" w:sz="0" w:space="0" w:color="auto"/>
            <w:bottom w:val="none" w:sz="0" w:space="0" w:color="auto"/>
            <w:right w:val="none" w:sz="0" w:space="0" w:color="auto"/>
          </w:divBdr>
        </w:div>
        <w:div w:id="1325740353">
          <w:marLeft w:val="547"/>
          <w:marRight w:val="0"/>
          <w:marTop w:val="0"/>
          <w:marBottom w:val="0"/>
          <w:divBdr>
            <w:top w:val="none" w:sz="0" w:space="0" w:color="auto"/>
            <w:left w:val="none" w:sz="0" w:space="0" w:color="auto"/>
            <w:bottom w:val="none" w:sz="0" w:space="0" w:color="auto"/>
            <w:right w:val="none" w:sz="0" w:space="0" w:color="auto"/>
          </w:divBdr>
        </w:div>
      </w:divsChild>
    </w:div>
    <w:div w:id="439566486">
      <w:bodyDiv w:val="1"/>
      <w:marLeft w:val="0"/>
      <w:marRight w:val="0"/>
      <w:marTop w:val="0"/>
      <w:marBottom w:val="0"/>
      <w:divBdr>
        <w:top w:val="none" w:sz="0" w:space="0" w:color="auto"/>
        <w:left w:val="none" w:sz="0" w:space="0" w:color="auto"/>
        <w:bottom w:val="none" w:sz="0" w:space="0" w:color="auto"/>
        <w:right w:val="none" w:sz="0" w:space="0" w:color="auto"/>
      </w:divBdr>
    </w:div>
    <w:div w:id="446311036">
      <w:bodyDiv w:val="1"/>
      <w:marLeft w:val="0"/>
      <w:marRight w:val="0"/>
      <w:marTop w:val="0"/>
      <w:marBottom w:val="0"/>
      <w:divBdr>
        <w:top w:val="none" w:sz="0" w:space="0" w:color="auto"/>
        <w:left w:val="none" w:sz="0" w:space="0" w:color="auto"/>
        <w:bottom w:val="none" w:sz="0" w:space="0" w:color="auto"/>
        <w:right w:val="none" w:sz="0" w:space="0" w:color="auto"/>
      </w:divBdr>
      <w:divsChild>
        <w:div w:id="1335036255">
          <w:marLeft w:val="547"/>
          <w:marRight w:val="0"/>
          <w:marTop w:val="77"/>
          <w:marBottom w:val="0"/>
          <w:divBdr>
            <w:top w:val="none" w:sz="0" w:space="0" w:color="auto"/>
            <w:left w:val="none" w:sz="0" w:space="0" w:color="auto"/>
            <w:bottom w:val="none" w:sz="0" w:space="0" w:color="auto"/>
            <w:right w:val="none" w:sz="0" w:space="0" w:color="auto"/>
          </w:divBdr>
        </w:div>
      </w:divsChild>
    </w:div>
    <w:div w:id="459884403">
      <w:bodyDiv w:val="1"/>
      <w:marLeft w:val="0"/>
      <w:marRight w:val="0"/>
      <w:marTop w:val="0"/>
      <w:marBottom w:val="0"/>
      <w:divBdr>
        <w:top w:val="none" w:sz="0" w:space="0" w:color="auto"/>
        <w:left w:val="none" w:sz="0" w:space="0" w:color="auto"/>
        <w:bottom w:val="none" w:sz="0" w:space="0" w:color="auto"/>
        <w:right w:val="none" w:sz="0" w:space="0" w:color="auto"/>
      </w:divBdr>
    </w:div>
    <w:div w:id="506015839">
      <w:bodyDiv w:val="1"/>
      <w:marLeft w:val="0"/>
      <w:marRight w:val="0"/>
      <w:marTop w:val="0"/>
      <w:marBottom w:val="0"/>
      <w:divBdr>
        <w:top w:val="none" w:sz="0" w:space="0" w:color="auto"/>
        <w:left w:val="none" w:sz="0" w:space="0" w:color="auto"/>
        <w:bottom w:val="none" w:sz="0" w:space="0" w:color="auto"/>
        <w:right w:val="none" w:sz="0" w:space="0" w:color="auto"/>
      </w:divBdr>
    </w:div>
    <w:div w:id="513153195">
      <w:bodyDiv w:val="1"/>
      <w:marLeft w:val="0"/>
      <w:marRight w:val="0"/>
      <w:marTop w:val="0"/>
      <w:marBottom w:val="0"/>
      <w:divBdr>
        <w:top w:val="none" w:sz="0" w:space="0" w:color="auto"/>
        <w:left w:val="none" w:sz="0" w:space="0" w:color="auto"/>
        <w:bottom w:val="none" w:sz="0" w:space="0" w:color="auto"/>
        <w:right w:val="none" w:sz="0" w:space="0" w:color="auto"/>
      </w:divBdr>
      <w:divsChild>
        <w:div w:id="531917935">
          <w:marLeft w:val="1800"/>
          <w:marRight w:val="0"/>
          <w:marTop w:val="72"/>
          <w:marBottom w:val="0"/>
          <w:divBdr>
            <w:top w:val="none" w:sz="0" w:space="0" w:color="auto"/>
            <w:left w:val="none" w:sz="0" w:space="0" w:color="auto"/>
            <w:bottom w:val="none" w:sz="0" w:space="0" w:color="auto"/>
            <w:right w:val="none" w:sz="0" w:space="0" w:color="auto"/>
          </w:divBdr>
        </w:div>
        <w:div w:id="871768324">
          <w:marLeft w:val="1166"/>
          <w:marRight w:val="0"/>
          <w:marTop w:val="91"/>
          <w:marBottom w:val="0"/>
          <w:divBdr>
            <w:top w:val="none" w:sz="0" w:space="0" w:color="auto"/>
            <w:left w:val="none" w:sz="0" w:space="0" w:color="auto"/>
            <w:bottom w:val="none" w:sz="0" w:space="0" w:color="auto"/>
            <w:right w:val="none" w:sz="0" w:space="0" w:color="auto"/>
          </w:divBdr>
        </w:div>
        <w:div w:id="1302805681">
          <w:marLeft w:val="1800"/>
          <w:marRight w:val="0"/>
          <w:marTop w:val="72"/>
          <w:marBottom w:val="0"/>
          <w:divBdr>
            <w:top w:val="none" w:sz="0" w:space="0" w:color="auto"/>
            <w:left w:val="none" w:sz="0" w:space="0" w:color="auto"/>
            <w:bottom w:val="none" w:sz="0" w:space="0" w:color="auto"/>
            <w:right w:val="none" w:sz="0" w:space="0" w:color="auto"/>
          </w:divBdr>
        </w:div>
        <w:div w:id="1395353772">
          <w:marLeft w:val="1166"/>
          <w:marRight w:val="0"/>
          <w:marTop w:val="91"/>
          <w:marBottom w:val="0"/>
          <w:divBdr>
            <w:top w:val="none" w:sz="0" w:space="0" w:color="auto"/>
            <w:left w:val="none" w:sz="0" w:space="0" w:color="auto"/>
            <w:bottom w:val="none" w:sz="0" w:space="0" w:color="auto"/>
            <w:right w:val="none" w:sz="0" w:space="0" w:color="auto"/>
          </w:divBdr>
        </w:div>
        <w:div w:id="1615556027">
          <w:marLeft w:val="547"/>
          <w:marRight w:val="0"/>
          <w:marTop w:val="106"/>
          <w:marBottom w:val="0"/>
          <w:divBdr>
            <w:top w:val="none" w:sz="0" w:space="0" w:color="auto"/>
            <w:left w:val="none" w:sz="0" w:space="0" w:color="auto"/>
            <w:bottom w:val="none" w:sz="0" w:space="0" w:color="auto"/>
            <w:right w:val="none" w:sz="0" w:space="0" w:color="auto"/>
          </w:divBdr>
        </w:div>
        <w:div w:id="1927303324">
          <w:marLeft w:val="1800"/>
          <w:marRight w:val="0"/>
          <w:marTop w:val="72"/>
          <w:marBottom w:val="0"/>
          <w:divBdr>
            <w:top w:val="none" w:sz="0" w:space="0" w:color="auto"/>
            <w:left w:val="none" w:sz="0" w:space="0" w:color="auto"/>
            <w:bottom w:val="none" w:sz="0" w:space="0" w:color="auto"/>
            <w:right w:val="none" w:sz="0" w:space="0" w:color="auto"/>
          </w:divBdr>
        </w:div>
        <w:div w:id="2011331490">
          <w:marLeft w:val="1166"/>
          <w:marRight w:val="0"/>
          <w:marTop w:val="91"/>
          <w:marBottom w:val="0"/>
          <w:divBdr>
            <w:top w:val="none" w:sz="0" w:space="0" w:color="auto"/>
            <w:left w:val="none" w:sz="0" w:space="0" w:color="auto"/>
            <w:bottom w:val="none" w:sz="0" w:space="0" w:color="auto"/>
            <w:right w:val="none" w:sz="0" w:space="0" w:color="auto"/>
          </w:divBdr>
        </w:div>
      </w:divsChild>
    </w:div>
    <w:div w:id="538010639">
      <w:bodyDiv w:val="1"/>
      <w:marLeft w:val="0"/>
      <w:marRight w:val="0"/>
      <w:marTop w:val="0"/>
      <w:marBottom w:val="0"/>
      <w:divBdr>
        <w:top w:val="none" w:sz="0" w:space="0" w:color="auto"/>
        <w:left w:val="none" w:sz="0" w:space="0" w:color="auto"/>
        <w:bottom w:val="none" w:sz="0" w:space="0" w:color="auto"/>
        <w:right w:val="none" w:sz="0" w:space="0" w:color="auto"/>
      </w:divBdr>
    </w:div>
    <w:div w:id="548298086">
      <w:bodyDiv w:val="1"/>
      <w:marLeft w:val="0"/>
      <w:marRight w:val="0"/>
      <w:marTop w:val="0"/>
      <w:marBottom w:val="0"/>
      <w:divBdr>
        <w:top w:val="none" w:sz="0" w:space="0" w:color="auto"/>
        <w:left w:val="none" w:sz="0" w:space="0" w:color="auto"/>
        <w:bottom w:val="none" w:sz="0" w:space="0" w:color="auto"/>
        <w:right w:val="none" w:sz="0" w:space="0" w:color="auto"/>
      </w:divBdr>
    </w:div>
    <w:div w:id="556934894">
      <w:bodyDiv w:val="1"/>
      <w:marLeft w:val="0"/>
      <w:marRight w:val="0"/>
      <w:marTop w:val="0"/>
      <w:marBottom w:val="0"/>
      <w:divBdr>
        <w:top w:val="none" w:sz="0" w:space="0" w:color="auto"/>
        <w:left w:val="none" w:sz="0" w:space="0" w:color="auto"/>
        <w:bottom w:val="none" w:sz="0" w:space="0" w:color="auto"/>
        <w:right w:val="none" w:sz="0" w:space="0" w:color="auto"/>
      </w:divBdr>
      <w:divsChild>
        <w:div w:id="404305345">
          <w:marLeft w:val="1166"/>
          <w:marRight w:val="0"/>
          <w:marTop w:val="96"/>
          <w:marBottom w:val="0"/>
          <w:divBdr>
            <w:top w:val="none" w:sz="0" w:space="0" w:color="auto"/>
            <w:left w:val="none" w:sz="0" w:space="0" w:color="auto"/>
            <w:bottom w:val="none" w:sz="0" w:space="0" w:color="auto"/>
            <w:right w:val="none" w:sz="0" w:space="0" w:color="auto"/>
          </w:divBdr>
        </w:div>
        <w:div w:id="1022125321">
          <w:marLeft w:val="1166"/>
          <w:marRight w:val="0"/>
          <w:marTop w:val="96"/>
          <w:marBottom w:val="0"/>
          <w:divBdr>
            <w:top w:val="none" w:sz="0" w:space="0" w:color="auto"/>
            <w:left w:val="none" w:sz="0" w:space="0" w:color="auto"/>
            <w:bottom w:val="none" w:sz="0" w:space="0" w:color="auto"/>
            <w:right w:val="none" w:sz="0" w:space="0" w:color="auto"/>
          </w:divBdr>
        </w:div>
        <w:div w:id="1786120727">
          <w:marLeft w:val="1166"/>
          <w:marRight w:val="0"/>
          <w:marTop w:val="96"/>
          <w:marBottom w:val="0"/>
          <w:divBdr>
            <w:top w:val="none" w:sz="0" w:space="0" w:color="auto"/>
            <w:left w:val="none" w:sz="0" w:space="0" w:color="auto"/>
            <w:bottom w:val="none" w:sz="0" w:space="0" w:color="auto"/>
            <w:right w:val="none" w:sz="0" w:space="0" w:color="auto"/>
          </w:divBdr>
        </w:div>
      </w:divsChild>
    </w:div>
    <w:div w:id="579094396">
      <w:bodyDiv w:val="1"/>
      <w:marLeft w:val="0"/>
      <w:marRight w:val="0"/>
      <w:marTop w:val="0"/>
      <w:marBottom w:val="0"/>
      <w:divBdr>
        <w:top w:val="none" w:sz="0" w:space="0" w:color="auto"/>
        <w:left w:val="none" w:sz="0" w:space="0" w:color="auto"/>
        <w:bottom w:val="none" w:sz="0" w:space="0" w:color="auto"/>
        <w:right w:val="none" w:sz="0" w:space="0" w:color="auto"/>
      </w:divBdr>
    </w:div>
    <w:div w:id="594479262">
      <w:bodyDiv w:val="1"/>
      <w:marLeft w:val="0"/>
      <w:marRight w:val="0"/>
      <w:marTop w:val="0"/>
      <w:marBottom w:val="0"/>
      <w:divBdr>
        <w:top w:val="none" w:sz="0" w:space="0" w:color="auto"/>
        <w:left w:val="none" w:sz="0" w:space="0" w:color="auto"/>
        <w:bottom w:val="none" w:sz="0" w:space="0" w:color="auto"/>
        <w:right w:val="none" w:sz="0" w:space="0" w:color="auto"/>
      </w:divBdr>
    </w:div>
    <w:div w:id="614405552">
      <w:bodyDiv w:val="1"/>
      <w:marLeft w:val="0"/>
      <w:marRight w:val="0"/>
      <w:marTop w:val="0"/>
      <w:marBottom w:val="0"/>
      <w:divBdr>
        <w:top w:val="none" w:sz="0" w:space="0" w:color="auto"/>
        <w:left w:val="none" w:sz="0" w:space="0" w:color="auto"/>
        <w:bottom w:val="none" w:sz="0" w:space="0" w:color="auto"/>
        <w:right w:val="none" w:sz="0" w:space="0" w:color="auto"/>
      </w:divBdr>
      <w:divsChild>
        <w:div w:id="59598723">
          <w:marLeft w:val="504"/>
          <w:marRight w:val="0"/>
          <w:marTop w:val="0"/>
          <w:marBottom w:val="0"/>
          <w:divBdr>
            <w:top w:val="none" w:sz="0" w:space="0" w:color="auto"/>
            <w:left w:val="none" w:sz="0" w:space="0" w:color="auto"/>
            <w:bottom w:val="none" w:sz="0" w:space="0" w:color="auto"/>
            <w:right w:val="none" w:sz="0" w:space="0" w:color="auto"/>
          </w:divBdr>
        </w:div>
      </w:divsChild>
    </w:div>
    <w:div w:id="646395887">
      <w:bodyDiv w:val="1"/>
      <w:marLeft w:val="0"/>
      <w:marRight w:val="0"/>
      <w:marTop w:val="0"/>
      <w:marBottom w:val="0"/>
      <w:divBdr>
        <w:top w:val="none" w:sz="0" w:space="0" w:color="auto"/>
        <w:left w:val="none" w:sz="0" w:space="0" w:color="auto"/>
        <w:bottom w:val="none" w:sz="0" w:space="0" w:color="auto"/>
        <w:right w:val="none" w:sz="0" w:space="0" w:color="auto"/>
      </w:divBdr>
      <w:divsChild>
        <w:div w:id="1457334496">
          <w:marLeft w:val="547"/>
          <w:marRight w:val="0"/>
          <w:marTop w:val="0"/>
          <w:marBottom w:val="0"/>
          <w:divBdr>
            <w:top w:val="none" w:sz="0" w:space="0" w:color="auto"/>
            <w:left w:val="none" w:sz="0" w:space="0" w:color="auto"/>
            <w:bottom w:val="none" w:sz="0" w:space="0" w:color="auto"/>
            <w:right w:val="none" w:sz="0" w:space="0" w:color="auto"/>
          </w:divBdr>
        </w:div>
        <w:div w:id="1105922586">
          <w:marLeft w:val="1166"/>
          <w:marRight w:val="0"/>
          <w:marTop w:val="0"/>
          <w:marBottom w:val="0"/>
          <w:divBdr>
            <w:top w:val="none" w:sz="0" w:space="0" w:color="auto"/>
            <w:left w:val="none" w:sz="0" w:space="0" w:color="auto"/>
            <w:bottom w:val="none" w:sz="0" w:space="0" w:color="auto"/>
            <w:right w:val="none" w:sz="0" w:space="0" w:color="auto"/>
          </w:divBdr>
        </w:div>
        <w:div w:id="1349477756">
          <w:marLeft w:val="547"/>
          <w:marRight w:val="0"/>
          <w:marTop w:val="0"/>
          <w:marBottom w:val="0"/>
          <w:divBdr>
            <w:top w:val="none" w:sz="0" w:space="0" w:color="auto"/>
            <w:left w:val="none" w:sz="0" w:space="0" w:color="auto"/>
            <w:bottom w:val="none" w:sz="0" w:space="0" w:color="auto"/>
            <w:right w:val="none" w:sz="0" w:space="0" w:color="auto"/>
          </w:divBdr>
        </w:div>
        <w:div w:id="513375095">
          <w:marLeft w:val="547"/>
          <w:marRight w:val="0"/>
          <w:marTop w:val="0"/>
          <w:marBottom w:val="0"/>
          <w:divBdr>
            <w:top w:val="none" w:sz="0" w:space="0" w:color="auto"/>
            <w:left w:val="none" w:sz="0" w:space="0" w:color="auto"/>
            <w:bottom w:val="none" w:sz="0" w:space="0" w:color="auto"/>
            <w:right w:val="none" w:sz="0" w:space="0" w:color="auto"/>
          </w:divBdr>
        </w:div>
      </w:divsChild>
    </w:div>
    <w:div w:id="704528445">
      <w:bodyDiv w:val="1"/>
      <w:marLeft w:val="0"/>
      <w:marRight w:val="0"/>
      <w:marTop w:val="0"/>
      <w:marBottom w:val="0"/>
      <w:divBdr>
        <w:top w:val="none" w:sz="0" w:space="0" w:color="auto"/>
        <w:left w:val="none" w:sz="0" w:space="0" w:color="auto"/>
        <w:bottom w:val="none" w:sz="0" w:space="0" w:color="auto"/>
        <w:right w:val="none" w:sz="0" w:space="0" w:color="auto"/>
      </w:divBdr>
    </w:div>
    <w:div w:id="707535142">
      <w:bodyDiv w:val="1"/>
      <w:marLeft w:val="0"/>
      <w:marRight w:val="0"/>
      <w:marTop w:val="0"/>
      <w:marBottom w:val="0"/>
      <w:divBdr>
        <w:top w:val="none" w:sz="0" w:space="0" w:color="auto"/>
        <w:left w:val="none" w:sz="0" w:space="0" w:color="auto"/>
        <w:bottom w:val="none" w:sz="0" w:space="0" w:color="auto"/>
        <w:right w:val="none" w:sz="0" w:space="0" w:color="auto"/>
      </w:divBdr>
      <w:divsChild>
        <w:div w:id="1364819884">
          <w:marLeft w:val="547"/>
          <w:marRight w:val="0"/>
          <w:marTop w:val="0"/>
          <w:marBottom w:val="0"/>
          <w:divBdr>
            <w:top w:val="none" w:sz="0" w:space="0" w:color="auto"/>
            <w:left w:val="none" w:sz="0" w:space="0" w:color="auto"/>
            <w:bottom w:val="none" w:sz="0" w:space="0" w:color="auto"/>
            <w:right w:val="none" w:sz="0" w:space="0" w:color="auto"/>
          </w:divBdr>
        </w:div>
        <w:div w:id="1884751957">
          <w:marLeft w:val="547"/>
          <w:marRight w:val="0"/>
          <w:marTop w:val="0"/>
          <w:marBottom w:val="0"/>
          <w:divBdr>
            <w:top w:val="none" w:sz="0" w:space="0" w:color="auto"/>
            <w:left w:val="none" w:sz="0" w:space="0" w:color="auto"/>
            <w:bottom w:val="none" w:sz="0" w:space="0" w:color="auto"/>
            <w:right w:val="none" w:sz="0" w:space="0" w:color="auto"/>
          </w:divBdr>
        </w:div>
      </w:divsChild>
    </w:div>
    <w:div w:id="712466286">
      <w:bodyDiv w:val="1"/>
      <w:marLeft w:val="0"/>
      <w:marRight w:val="0"/>
      <w:marTop w:val="0"/>
      <w:marBottom w:val="0"/>
      <w:divBdr>
        <w:top w:val="none" w:sz="0" w:space="0" w:color="auto"/>
        <w:left w:val="none" w:sz="0" w:space="0" w:color="auto"/>
        <w:bottom w:val="none" w:sz="0" w:space="0" w:color="auto"/>
        <w:right w:val="none" w:sz="0" w:space="0" w:color="auto"/>
      </w:divBdr>
    </w:div>
    <w:div w:id="724764056">
      <w:bodyDiv w:val="1"/>
      <w:marLeft w:val="0"/>
      <w:marRight w:val="0"/>
      <w:marTop w:val="0"/>
      <w:marBottom w:val="0"/>
      <w:divBdr>
        <w:top w:val="none" w:sz="0" w:space="0" w:color="auto"/>
        <w:left w:val="none" w:sz="0" w:space="0" w:color="auto"/>
        <w:bottom w:val="none" w:sz="0" w:space="0" w:color="auto"/>
        <w:right w:val="none" w:sz="0" w:space="0" w:color="auto"/>
      </w:divBdr>
    </w:div>
    <w:div w:id="727800114">
      <w:bodyDiv w:val="1"/>
      <w:marLeft w:val="0"/>
      <w:marRight w:val="0"/>
      <w:marTop w:val="0"/>
      <w:marBottom w:val="0"/>
      <w:divBdr>
        <w:top w:val="none" w:sz="0" w:space="0" w:color="auto"/>
        <w:left w:val="none" w:sz="0" w:space="0" w:color="auto"/>
        <w:bottom w:val="none" w:sz="0" w:space="0" w:color="auto"/>
        <w:right w:val="none" w:sz="0" w:space="0" w:color="auto"/>
      </w:divBdr>
    </w:div>
    <w:div w:id="732579337">
      <w:bodyDiv w:val="1"/>
      <w:marLeft w:val="0"/>
      <w:marRight w:val="0"/>
      <w:marTop w:val="0"/>
      <w:marBottom w:val="0"/>
      <w:divBdr>
        <w:top w:val="none" w:sz="0" w:space="0" w:color="auto"/>
        <w:left w:val="none" w:sz="0" w:space="0" w:color="auto"/>
        <w:bottom w:val="none" w:sz="0" w:space="0" w:color="auto"/>
        <w:right w:val="none" w:sz="0" w:space="0" w:color="auto"/>
      </w:divBdr>
    </w:div>
    <w:div w:id="740717668">
      <w:bodyDiv w:val="1"/>
      <w:marLeft w:val="0"/>
      <w:marRight w:val="0"/>
      <w:marTop w:val="0"/>
      <w:marBottom w:val="0"/>
      <w:divBdr>
        <w:top w:val="none" w:sz="0" w:space="0" w:color="auto"/>
        <w:left w:val="none" w:sz="0" w:space="0" w:color="auto"/>
        <w:bottom w:val="none" w:sz="0" w:space="0" w:color="auto"/>
        <w:right w:val="none" w:sz="0" w:space="0" w:color="auto"/>
      </w:divBdr>
    </w:div>
    <w:div w:id="757025327">
      <w:bodyDiv w:val="1"/>
      <w:marLeft w:val="0"/>
      <w:marRight w:val="0"/>
      <w:marTop w:val="0"/>
      <w:marBottom w:val="0"/>
      <w:divBdr>
        <w:top w:val="none" w:sz="0" w:space="0" w:color="auto"/>
        <w:left w:val="none" w:sz="0" w:space="0" w:color="auto"/>
        <w:bottom w:val="none" w:sz="0" w:space="0" w:color="auto"/>
        <w:right w:val="none" w:sz="0" w:space="0" w:color="auto"/>
      </w:divBdr>
      <w:divsChild>
        <w:div w:id="1072851556">
          <w:marLeft w:val="576"/>
          <w:marRight w:val="0"/>
          <w:marTop w:val="320"/>
          <w:marBottom w:val="0"/>
          <w:divBdr>
            <w:top w:val="none" w:sz="0" w:space="0" w:color="auto"/>
            <w:left w:val="none" w:sz="0" w:space="0" w:color="auto"/>
            <w:bottom w:val="none" w:sz="0" w:space="0" w:color="auto"/>
            <w:right w:val="none" w:sz="0" w:space="0" w:color="auto"/>
          </w:divBdr>
        </w:div>
      </w:divsChild>
    </w:div>
    <w:div w:id="770978462">
      <w:bodyDiv w:val="1"/>
      <w:marLeft w:val="0"/>
      <w:marRight w:val="0"/>
      <w:marTop w:val="0"/>
      <w:marBottom w:val="0"/>
      <w:divBdr>
        <w:top w:val="none" w:sz="0" w:space="0" w:color="auto"/>
        <w:left w:val="none" w:sz="0" w:space="0" w:color="auto"/>
        <w:bottom w:val="none" w:sz="0" w:space="0" w:color="auto"/>
        <w:right w:val="none" w:sz="0" w:space="0" w:color="auto"/>
      </w:divBdr>
      <w:divsChild>
        <w:div w:id="1511141397">
          <w:marLeft w:val="1685"/>
          <w:marRight w:val="0"/>
          <w:marTop w:val="240"/>
          <w:marBottom w:val="0"/>
          <w:divBdr>
            <w:top w:val="none" w:sz="0" w:space="0" w:color="auto"/>
            <w:left w:val="none" w:sz="0" w:space="0" w:color="auto"/>
            <w:bottom w:val="none" w:sz="0" w:space="0" w:color="auto"/>
            <w:right w:val="none" w:sz="0" w:space="0" w:color="auto"/>
          </w:divBdr>
        </w:div>
        <w:div w:id="2104914667">
          <w:marLeft w:val="1685"/>
          <w:marRight w:val="0"/>
          <w:marTop w:val="240"/>
          <w:marBottom w:val="0"/>
          <w:divBdr>
            <w:top w:val="none" w:sz="0" w:space="0" w:color="auto"/>
            <w:left w:val="none" w:sz="0" w:space="0" w:color="auto"/>
            <w:bottom w:val="none" w:sz="0" w:space="0" w:color="auto"/>
            <w:right w:val="none" w:sz="0" w:space="0" w:color="auto"/>
          </w:divBdr>
        </w:div>
        <w:div w:id="414592138">
          <w:marLeft w:val="1685"/>
          <w:marRight w:val="0"/>
          <w:marTop w:val="240"/>
          <w:marBottom w:val="0"/>
          <w:divBdr>
            <w:top w:val="none" w:sz="0" w:space="0" w:color="auto"/>
            <w:left w:val="none" w:sz="0" w:space="0" w:color="auto"/>
            <w:bottom w:val="none" w:sz="0" w:space="0" w:color="auto"/>
            <w:right w:val="none" w:sz="0" w:space="0" w:color="auto"/>
          </w:divBdr>
        </w:div>
      </w:divsChild>
    </w:div>
    <w:div w:id="782383324">
      <w:bodyDiv w:val="1"/>
      <w:marLeft w:val="0"/>
      <w:marRight w:val="0"/>
      <w:marTop w:val="0"/>
      <w:marBottom w:val="0"/>
      <w:divBdr>
        <w:top w:val="none" w:sz="0" w:space="0" w:color="auto"/>
        <w:left w:val="none" w:sz="0" w:space="0" w:color="auto"/>
        <w:bottom w:val="none" w:sz="0" w:space="0" w:color="auto"/>
        <w:right w:val="none" w:sz="0" w:space="0" w:color="auto"/>
      </w:divBdr>
      <w:divsChild>
        <w:div w:id="1632905093">
          <w:marLeft w:val="547"/>
          <w:marRight w:val="0"/>
          <w:marTop w:val="0"/>
          <w:marBottom w:val="0"/>
          <w:divBdr>
            <w:top w:val="none" w:sz="0" w:space="0" w:color="auto"/>
            <w:left w:val="none" w:sz="0" w:space="0" w:color="auto"/>
            <w:bottom w:val="none" w:sz="0" w:space="0" w:color="auto"/>
            <w:right w:val="none" w:sz="0" w:space="0" w:color="auto"/>
          </w:divBdr>
        </w:div>
      </w:divsChild>
    </w:div>
    <w:div w:id="793057046">
      <w:bodyDiv w:val="1"/>
      <w:marLeft w:val="0"/>
      <w:marRight w:val="0"/>
      <w:marTop w:val="0"/>
      <w:marBottom w:val="0"/>
      <w:divBdr>
        <w:top w:val="none" w:sz="0" w:space="0" w:color="auto"/>
        <w:left w:val="none" w:sz="0" w:space="0" w:color="auto"/>
        <w:bottom w:val="none" w:sz="0" w:space="0" w:color="auto"/>
        <w:right w:val="none" w:sz="0" w:space="0" w:color="auto"/>
      </w:divBdr>
      <w:divsChild>
        <w:div w:id="285043294">
          <w:marLeft w:val="547"/>
          <w:marRight w:val="0"/>
          <w:marTop w:val="86"/>
          <w:marBottom w:val="0"/>
          <w:divBdr>
            <w:top w:val="none" w:sz="0" w:space="0" w:color="auto"/>
            <w:left w:val="none" w:sz="0" w:space="0" w:color="auto"/>
            <w:bottom w:val="none" w:sz="0" w:space="0" w:color="auto"/>
            <w:right w:val="none" w:sz="0" w:space="0" w:color="auto"/>
          </w:divBdr>
        </w:div>
        <w:div w:id="1742210436">
          <w:marLeft w:val="1166"/>
          <w:marRight w:val="0"/>
          <w:marTop w:val="67"/>
          <w:marBottom w:val="0"/>
          <w:divBdr>
            <w:top w:val="none" w:sz="0" w:space="0" w:color="auto"/>
            <w:left w:val="none" w:sz="0" w:space="0" w:color="auto"/>
            <w:bottom w:val="none" w:sz="0" w:space="0" w:color="auto"/>
            <w:right w:val="none" w:sz="0" w:space="0" w:color="auto"/>
          </w:divBdr>
        </w:div>
      </w:divsChild>
    </w:div>
    <w:div w:id="797064753">
      <w:bodyDiv w:val="1"/>
      <w:marLeft w:val="0"/>
      <w:marRight w:val="0"/>
      <w:marTop w:val="0"/>
      <w:marBottom w:val="0"/>
      <w:divBdr>
        <w:top w:val="none" w:sz="0" w:space="0" w:color="auto"/>
        <w:left w:val="none" w:sz="0" w:space="0" w:color="auto"/>
        <w:bottom w:val="none" w:sz="0" w:space="0" w:color="auto"/>
        <w:right w:val="none" w:sz="0" w:space="0" w:color="auto"/>
      </w:divBdr>
    </w:div>
    <w:div w:id="801463068">
      <w:bodyDiv w:val="1"/>
      <w:marLeft w:val="0"/>
      <w:marRight w:val="0"/>
      <w:marTop w:val="0"/>
      <w:marBottom w:val="0"/>
      <w:divBdr>
        <w:top w:val="none" w:sz="0" w:space="0" w:color="auto"/>
        <w:left w:val="none" w:sz="0" w:space="0" w:color="auto"/>
        <w:bottom w:val="none" w:sz="0" w:space="0" w:color="auto"/>
        <w:right w:val="none" w:sz="0" w:space="0" w:color="auto"/>
      </w:divBdr>
    </w:div>
    <w:div w:id="825050515">
      <w:bodyDiv w:val="1"/>
      <w:marLeft w:val="0"/>
      <w:marRight w:val="0"/>
      <w:marTop w:val="0"/>
      <w:marBottom w:val="0"/>
      <w:divBdr>
        <w:top w:val="none" w:sz="0" w:space="0" w:color="auto"/>
        <w:left w:val="none" w:sz="0" w:space="0" w:color="auto"/>
        <w:bottom w:val="none" w:sz="0" w:space="0" w:color="auto"/>
        <w:right w:val="none" w:sz="0" w:space="0" w:color="auto"/>
      </w:divBdr>
    </w:div>
    <w:div w:id="833835241">
      <w:bodyDiv w:val="1"/>
      <w:marLeft w:val="0"/>
      <w:marRight w:val="0"/>
      <w:marTop w:val="0"/>
      <w:marBottom w:val="0"/>
      <w:divBdr>
        <w:top w:val="none" w:sz="0" w:space="0" w:color="auto"/>
        <w:left w:val="none" w:sz="0" w:space="0" w:color="auto"/>
        <w:bottom w:val="none" w:sz="0" w:space="0" w:color="auto"/>
        <w:right w:val="none" w:sz="0" w:space="0" w:color="auto"/>
      </w:divBdr>
      <w:divsChild>
        <w:div w:id="58674883">
          <w:marLeft w:val="547"/>
          <w:marRight w:val="0"/>
          <w:marTop w:val="0"/>
          <w:marBottom w:val="0"/>
          <w:divBdr>
            <w:top w:val="none" w:sz="0" w:space="0" w:color="auto"/>
            <w:left w:val="none" w:sz="0" w:space="0" w:color="auto"/>
            <w:bottom w:val="none" w:sz="0" w:space="0" w:color="auto"/>
            <w:right w:val="none" w:sz="0" w:space="0" w:color="auto"/>
          </w:divBdr>
        </w:div>
      </w:divsChild>
    </w:div>
    <w:div w:id="843470839">
      <w:bodyDiv w:val="1"/>
      <w:marLeft w:val="0"/>
      <w:marRight w:val="0"/>
      <w:marTop w:val="0"/>
      <w:marBottom w:val="0"/>
      <w:divBdr>
        <w:top w:val="none" w:sz="0" w:space="0" w:color="auto"/>
        <w:left w:val="none" w:sz="0" w:space="0" w:color="auto"/>
        <w:bottom w:val="none" w:sz="0" w:space="0" w:color="auto"/>
        <w:right w:val="none" w:sz="0" w:space="0" w:color="auto"/>
      </w:divBdr>
    </w:div>
    <w:div w:id="851844215">
      <w:bodyDiv w:val="1"/>
      <w:marLeft w:val="0"/>
      <w:marRight w:val="0"/>
      <w:marTop w:val="0"/>
      <w:marBottom w:val="0"/>
      <w:divBdr>
        <w:top w:val="none" w:sz="0" w:space="0" w:color="auto"/>
        <w:left w:val="none" w:sz="0" w:space="0" w:color="auto"/>
        <w:bottom w:val="none" w:sz="0" w:space="0" w:color="auto"/>
        <w:right w:val="none" w:sz="0" w:space="0" w:color="auto"/>
      </w:divBdr>
    </w:div>
    <w:div w:id="867834669">
      <w:bodyDiv w:val="1"/>
      <w:marLeft w:val="0"/>
      <w:marRight w:val="0"/>
      <w:marTop w:val="0"/>
      <w:marBottom w:val="0"/>
      <w:divBdr>
        <w:top w:val="none" w:sz="0" w:space="0" w:color="auto"/>
        <w:left w:val="none" w:sz="0" w:space="0" w:color="auto"/>
        <w:bottom w:val="none" w:sz="0" w:space="0" w:color="auto"/>
        <w:right w:val="none" w:sz="0" w:space="0" w:color="auto"/>
      </w:divBdr>
    </w:div>
    <w:div w:id="885604679">
      <w:bodyDiv w:val="1"/>
      <w:marLeft w:val="0"/>
      <w:marRight w:val="0"/>
      <w:marTop w:val="0"/>
      <w:marBottom w:val="0"/>
      <w:divBdr>
        <w:top w:val="none" w:sz="0" w:space="0" w:color="auto"/>
        <w:left w:val="none" w:sz="0" w:space="0" w:color="auto"/>
        <w:bottom w:val="none" w:sz="0" w:space="0" w:color="auto"/>
        <w:right w:val="none" w:sz="0" w:space="0" w:color="auto"/>
      </w:divBdr>
    </w:div>
    <w:div w:id="897126209">
      <w:bodyDiv w:val="1"/>
      <w:marLeft w:val="0"/>
      <w:marRight w:val="0"/>
      <w:marTop w:val="0"/>
      <w:marBottom w:val="0"/>
      <w:divBdr>
        <w:top w:val="none" w:sz="0" w:space="0" w:color="auto"/>
        <w:left w:val="none" w:sz="0" w:space="0" w:color="auto"/>
        <w:bottom w:val="none" w:sz="0" w:space="0" w:color="auto"/>
        <w:right w:val="none" w:sz="0" w:space="0" w:color="auto"/>
      </w:divBdr>
    </w:div>
    <w:div w:id="914776120">
      <w:bodyDiv w:val="1"/>
      <w:marLeft w:val="0"/>
      <w:marRight w:val="0"/>
      <w:marTop w:val="0"/>
      <w:marBottom w:val="0"/>
      <w:divBdr>
        <w:top w:val="none" w:sz="0" w:space="0" w:color="auto"/>
        <w:left w:val="none" w:sz="0" w:space="0" w:color="auto"/>
        <w:bottom w:val="none" w:sz="0" w:space="0" w:color="auto"/>
        <w:right w:val="none" w:sz="0" w:space="0" w:color="auto"/>
      </w:divBdr>
    </w:div>
    <w:div w:id="927419316">
      <w:bodyDiv w:val="1"/>
      <w:marLeft w:val="0"/>
      <w:marRight w:val="0"/>
      <w:marTop w:val="0"/>
      <w:marBottom w:val="0"/>
      <w:divBdr>
        <w:top w:val="none" w:sz="0" w:space="0" w:color="auto"/>
        <w:left w:val="none" w:sz="0" w:space="0" w:color="auto"/>
        <w:bottom w:val="none" w:sz="0" w:space="0" w:color="auto"/>
        <w:right w:val="none" w:sz="0" w:space="0" w:color="auto"/>
      </w:divBdr>
    </w:div>
    <w:div w:id="938491783">
      <w:bodyDiv w:val="1"/>
      <w:marLeft w:val="0"/>
      <w:marRight w:val="0"/>
      <w:marTop w:val="0"/>
      <w:marBottom w:val="0"/>
      <w:divBdr>
        <w:top w:val="none" w:sz="0" w:space="0" w:color="auto"/>
        <w:left w:val="none" w:sz="0" w:space="0" w:color="auto"/>
        <w:bottom w:val="none" w:sz="0" w:space="0" w:color="auto"/>
        <w:right w:val="none" w:sz="0" w:space="0" w:color="auto"/>
      </w:divBdr>
      <w:divsChild>
        <w:div w:id="1834182475">
          <w:marLeft w:val="547"/>
          <w:marRight w:val="0"/>
          <w:marTop w:val="0"/>
          <w:marBottom w:val="0"/>
          <w:divBdr>
            <w:top w:val="none" w:sz="0" w:space="0" w:color="auto"/>
            <w:left w:val="none" w:sz="0" w:space="0" w:color="auto"/>
            <w:bottom w:val="none" w:sz="0" w:space="0" w:color="auto"/>
            <w:right w:val="none" w:sz="0" w:space="0" w:color="auto"/>
          </w:divBdr>
        </w:div>
        <w:div w:id="1624580562">
          <w:marLeft w:val="1166"/>
          <w:marRight w:val="0"/>
          <w:marTop w:val="0"/>
          <w:marBottom w:val="0"/>
          <w:divBdr>
            <w:top w:val="none" w:sz="0" w:space="0" w:color="auto"/>
            <w:left w:val="none" w:sz="0" w:space="0" w:color="auto"/>
            <w:bottom w:val="none" w:sz="0" w:space="0" w:color="auto"/>
            <w:right w:val="none" w:sz="0" w:space="0" w:color="auto"/>
          </w:divBdr>
        </w:div>
        <w:div w:id="892084307">
          <w:marLeft w:val="547"/>
          <w:marRight w:val="0"/>
          <w:marTop w:val="0"/>
          <w:marBottom w:val="0"/>
          <w:divBdr>
            <w:top w:val="none" w:sz="0" w:space="0" w:color="auto"/>
            <w:left w:val="none" w:sz="0" w:space="0" w:color="auto"/>
            <w:bottom w:val="none" w:sz="0" w:space="0" w:color="auto"/>
            <w:right w:val="none" w:sz="0" w:space="0" w:color="auto"/>
          </w:divBdr>
        </w:div>
        <w:div w:id="145821915">
          <w:marLeft w:val="547"/>
          <w:marRight w:val="0"/>
          <w:marTop w:val="0"/>
          <w:marBottom w:val="0"/>
          <w:divBdr>
            <w:top w:val="none" w:sz="0" w:space="0" w:color="auto"/>
            <w:left w:val="none" w:sz="0" w:space="0" w:color="auto"/>
            <w:bottom w:val="none" w:sz="0" w:space="0" w:color="auto"/>
            <w:right w:val="none" w:sz="0" w:space="0" w:color="auto"/>
          </w:divBdr>
        </w:div>
      </w:divsChild>
    </w:div>
    <w:div w:id="970944038">
      <w:bodyDiv w:val="1"/>
      <w:marLeft w:val="0"/>
      <w:marRight w:val="0"/>
      <w:marTop w:val="0"/>
      <w:marBottom w:val="0"/>
      <w:divBdr>
        <w:top w:val="none" w:sz="0" w:space="0" w:color="auto"/>
        <w:left w:val="none" w:sz="0" w:space="0" w:color="auto"/>
        <w:bottom w:val="none" w:sz="0" w:space="0" w:color="auto"/>
        <w:right w:val="none" w:sz="0" w:space="0" w:color="auto"/>
      </w:divBdr>
      <w:divsChild>
        <w:div w:id="49161472">
          <w:marLeft w:val="1166"/>
          <w:marRight w:val="0"/>
          <w:marTop w:val="86"/>
          <w:marBottom w:val="0"/>
          <w:divBdr>
            <w:top w:val="none" w:sz="0" w:space="0" w:color="auto"/>
            <w:left w:val="none" w:sz="0" w:space="0" w:color="auto"/>
            <w:bottom w:val="none" w:sz="0" w:space="0" w:color="auto"/>
            <w:right w:val="none" w:sz="0" w:space="0" w:color="auto"/>
          </w:divBdr>
        </w:div>
        <w:div w:id="147403661">
          <w:marLeft w:val="1166"/>
          <w:marRight w:val="0"/>
          <w:marTop w:val="86"/>
          <w:marBottom w:val="0"/>
          <w:divBdr>
            <w:top w:val="none" w:sz="0" w:space="0" w:color="auto"/>
            <w:left w:val="none" w:sz="0" w:space="0" w:color="auto"/>
            <w:bottom w:val="none" w:sz="0" w:space="0" w:color="auto"/>
            <w:right w:val="none" w:sz="0" w:space="0" w:color="auto"/>
          </w:divBdr>
        </w:div>
        <w:div w:id="199243330">
          <w:marLeft w:val="547"/>
          <w:marRight w:val="0"/>
          <w:marTop w:val="96"/>
          <w:marBottom w:val="0"/>
          <w:divBdr>
            <w:top w:val="none" w:sz="0" w:space="0" w:color="auto"/>
            <w:left w:val="none" w:sz="0" w:space="0" w:color="auto"/>
            <w:bottom w:val="none" w:sz="0" w:space="0" w:color="auto"/>
            <w:right w:val="none" w:sz="0" w:space="0" w:color="auto"/>
          </w:divBdr>
        </w:div>
        <w:div w:id="230503874">
          <w:marLeft w:val="547"/>
          <w:marRight w:val="0"/>
          <w:marTop w:val="96"/>
          <w:marBottom w:val="0"/>
          <w:divBdr>
            <w:top w:val="none" w:sz="0" w:space="0" w:color="auto"/>
            <w:left w:val="none" w:sz="0" w:space="0" w:color="auto"/>
            <w:bottom w:val="none" w:sz="0" w:space="0" w:color="auto"/>
            <w:right w:val="none" w:sz="0" w:space="0" w:color="auto"/>
          </w:divBdr>
        </w:div>
        <w:div w:id="748426014">
          <w:marLeft w:val="1166"/>
          <w:marRight w:val="0"/>
          <w:marTop w:val="86"/>
          <w:marBottom w:val="0"/>
          <w:divBdr>
            <w:top w:val="none" w:sz="0" w:space="0" w:color="auto"/>
            <w:left w:val="none" w:sz="0" w:space="0" w:color="auto"/>
            <w:bottom w:val="none" w:sz="0" w:space="0" w:color="auto"/>
            <w:right w:val="none" w:sz="0" w:space="0" w:color="auto"/>
          </w:divBdr>
        </w:div>
        <w:div w:id="777453691">
          <w:marLeft w:val="1800"/>
          <w:marRight w:val="0"/>
          <w:marTop w:val="72"/>
          <w:marBottom w:val="0"/>
          <w:divBdr>
            <w:top w:val="none" w:sz="0" w:space="0" w:color="auto"/>
            <w:left w:val="none" w:sz="0" w:space="0" w:color="auto"/>
            <w:bottom w:val="none" w:sz="0" w:space="0" w:color="auto"/>
            <w:right w:val="none" w:sz="0" w:space="0" w:color="auto"/>
          </w:divBdr>
        </w:div>
        <w:div w:id="817500317">
          <w:marLeft w:val="1166"/>
          <w:marRight w:val="0"/>
          <w:marTop w:val="86"/>
          <w:marBottom w:val="0"/>
          <w:divBdr>
            <w:top w:val="none" w:sz="0" w:space="0" w:color="auto"/>
            <w:left w:val="none" w:sz="0" w:space="0" w:color="auto"/>
            <w:bottom w:val="none" w:sz="0" w:space="0" w:color="auto"/>
            <w:right w:val="none" w:sz="0" w:space="0" w:color="auto"/>
          </w:divBdr>
        </w:div>
        <w:div w:id="875966434">
          <w:marLeft w:val="1800"/>
          <w:marRight w:val="0"/>
          <w:marTop w:val="72"/>
          <w:marBottom w:val="0"/>
          <w:divBdr>
            <w:top w:val="none" w:sz="0" w:space="0" w:color="auto"/>
            <w:left w:val="none" w:sz="0" w:space="0" w:color="auto"/>
            <w:bottom w:val="none" w:sz="0" w:space="0" w:color="auto"/>
            <w:right w:val="none" w:sz="0" w:space="0" w:color="auto"/>
          </w:divBdr>
        </w:div>
        <w:div w:id="1600094138">
          <w:marLeft w:val="1166"/>
          <w:marRight w:val="0"/>
          <w:marTop w:val="86"/>
          <w:marBottom w:val="0"/>
          <w:divBdr>
            <w:top w:val="none" w:sz="0" w:space="0" w:color="auto"/>
            <w:left w:val="none" w:sz="0" w:space="0" w:color="auto"/>
            <w:bottom w:val="none" w:sz="0" w:space="0" w:color="auto"/>
            <w:right w:val="none" w:sz="0" w:space="0" w:color="auto"/>
          </w:divBdr>
        </w:div>
        <w:div w:id="1604536669">
          <w:marLeft w:val="1800"/>
          <w:marRight w:val="0"/>
          <w:marTop w:val="72"/>
          <w:marBottom w:val="0"/>
          <w:divBdr>
            <w:top w:val="none" w:sz="0" w:space="0" w:color="auto"/>
            <w:left w:val="none" w:sz="0" w:space="0" w:color="auto"/>
            <w:bottom w:val="none" w:sz="0" w:space="0" w:color="auto"/>
            <w:right w:val="none" w:sz="0" w:space="0" w:color="auto"/>
          </w:divBdr>
        </w:div>
        <w:div w:id="1686974736">
          <w:marLeft w:val="1166"/>
          <w:marRight w:val="0"/>
          <w:marTop w:val="86"/>
          <w:marBottom w:val="0"/>
          <w:divBdr>
            <w:top w:val="none" w:sz="0" w:space="0" w:color="auto"/>
            <w:left w:val="none" w:sz="0" w:space="0" w:color="auto"/>
            <w:bottom w:val="none" w:sz="0" w:space="0" w:color="auto"/>
            <w:right w:val="none" w:sz="0" w:space="0" w:color="auto"/>
          </w:divBdr>
        </w:div>
        <w:div w:id="1687366945">
          <w:marLeft w:val="1800"/>
          <w:marRight w:val="0"/>
          <w:marTop w:val="72"/>
          <w:marBottom w:val="0"/>
          <w:divBdr>
            <w:top w:val="none" w:sz="0" w:space="0" w:color="auto"/>
            <w:left w:val="none" w:sz="0" w:space="0" w:color="auto"/>
            <w:bottom w:val="none" w:sz="0" w:space="0" w:color="auto"/>
            <w:right w:val="none" w:sz="0" w:space="0" w:color="auto"/>
          </w:divBdr>
        </w:div>
        <w:div w:id="1884319166">
          <w:marLeft w:val="547"/>
          <w:marRight w:val="0"/>
          <w:marTop w:val="96"/>
          <w:marBottom w:val="0"/>
          <w:divBdr>
            <w:top w:val="none" w:sz="0" w:space="0" w:color="auto"/>
            <w:left w:val="none" w:sz="0" w:space="0" w:color="auto"/>
            <w:bottom w:val="none" w:sz="0" w:space="0" w:color="auto"/>
            <w:right w:val="none" w:sz="0" w:space="0" w:color="auto"/>
          </w:divBdr>
        </w:div>
      </w:divsChild>
    </w:div>
    <w:div w:id="973025358">
      <w:bodyDiv w:val="1"/>
      <w:marLeft w:val="0"/>
      <w:marRight w:val="0"/>
      <w:marTop w:val="0"/>
      <w:marBottom w:val="0"/>
      <w:divBdr>
        <w:top w:val="none" w:sz="0" w:space="0" w:color="auto"/>
        <w:left w:val="none" w:sz="0" w:space="0" w:color="auto"/>
        <w:bottom w:val="none" w:sz="0" w:space="0" w:color="auto"/>
        <w:right w:val="none" w:sz="0" w:space="0" w:color="auto"/>
      </w:divBdr>
    </w:div>
    <w:div w:id="979766382">
      <w:bodyDiv w:val="1"/>
      <w:marLeft w:val="0"/>
      <w:marRight w:val="0"/>
      <w:marTop w:val="0"/>
      <w:marBottom w:val="0"/>
      <w:divBdr>
        <w:top w:val="none" w:sz="0" w:space="0" w:color="auto"/>
        <w:left w:val="none" w:sz="0" w:space="0" w:color="auto"/>
        <w:bottom w:val="none" w:sz="0" w:space="0" w:color="auto"/>
        <w:right w:val="none" w:sz="0" w:space="0" w:color="auto"/>
      </w:divBdr>
    </w:div>
    <w:div w:id="980040625">
      <w:bodyDiv w:val="1"/>
      <w:marLeft w:val="0"/>
      <w:marRight w:val="0"/>
      <w:marTop w:val="0"/>
      <w:marBottom w:val="0"/>
      <w:divBdr>
        <w:top w:val="none" w:sz="0" w:space="0" w:color="auto"/>
        <w:left w:val="none" w:sz="0" w:space="0" w:color="auto"/>
        <w:bottom w:val="none" w:sz="0" w:space="0" w:color="auto"/>
        <w:right w:val="none" w:sz="0" w:space="0" w:color="auto"/>
      </w:divBdr>
    </w:div>
    <w:div w:id="1021783019">
      <w:bodyDiv w:val="1"/>
      <w:marLeft w:val="0"/>
      <w:marRight w:val="0"/>
      <w:marTop w:val="0"/>
      <w:marBottom w:val="0"/>
      <w:divBdr>
        <w:top w:val="none" w:sz="0" w:space="0" w:color="auto"/>
        <w:left w:val="none" w:sz="0" w:space="0" w:color="auto"/>
        <w:bottom w:val="none" w:sz="0" w:space="0" w:color="auto"/>
        <w:right w:val="none" w:sz="0" w:space="0" w:color="auto"/>
      </w:divBdr>
      <w:divsChild>
        <w:div w:id="2032950909">
          <w:marLeft w:val="547"/>
          <w:marRight w:val="0"/>
          <w:marTop w:val="0"/>
          <w:marBottom w:val="0"/>
          <w:divBdr>
            <w:top w:val="none" w:sz="0" w:space="0" w:color="auto"/>
            <w:left w:val="none" w:sz="0" w:space="0" w:color="auto"/>
            <w:bottom w:val="none" w:sz="0" w:space="0" w:color="auto"/>
            <w:right w:val="none" w:sz="0" w:space="0" w:color="auto"/>
          </w:divBdr>
        </w:div>
        <w:div w:id="1578637540">
          <w:marLeft w:val="1166"/>
          <w:marRight w:val="0"/>
          <w:marTop w:val="0"/>
          <w:marBottom w:val="0"/>
          <w:divBdr>
            <w:top w:val="none" w:sz="0" w:space="0" w:color="auto"/>
            <w:left w:val="none" w:sz="0" w:space="0" w:color="auto"/>
            <w:bottom w:val="none" w:sz="0" w:space="0" w:color="auto"/>
            <w:right w:val="none" w:sz="0" w:space="0" w:color="auto"/>
          </w:divBdr>
        </w:div>
        <w:div w:id="1344162847">
          <w:marLeft w:val="547"/>
          <w:marRight w:val="0"/>
          <w:marTop w:val="0"/>
          <w:marBottom w:val="0"/>
          <w:divBdr>
            <w:top w:val="none" w:sz="0" w:space="0" w:color="auto"/>
            <w:left w:val="none" w:sz="0" w:space="0" w:color="auto"/>
            <w:bottom w:val="none" w:sz="0" w:space="0" w:color="auto"/>
            <w:right w:val="none" w:sz="0" w:space="0" w:color="auto"/>
          </w:divBdr>
        </w:div>
        <w:div w:id="1916432066">
          <w:marLeft w:val="547"/>
          <w:marRight w:val="0"/>
          <w:marTop w:val="0"/>
          <w:marBottom w:val="0"/>
          <w:divBdr>
            <w:top w:val="none" w:sz="0" w:space="0" w:color="auto"/>
            <w:left w:val="none" w:sz="0" w:space="0" w:color="auto"/>
            <w:bottom w:val="none" w:sz="0" w:space="0" w:color="auto"/>
            <w:right w:val="none" w:sz="0" w:space="0" w:color="auto"/>
          </w:divBdr>
        </w:div>
      </w:divsChild>
    </w:div>
    <w:div w:id="1025863401">
      <w:bodyDiv w:val="1"/>
      <w:marLeft w:val="0"/>
      <w:marRight w:val="0"/>
      <w:marTop w:val="0"/>
      <w:marBottom w:val="0"/>
      <w:divBdr>
        <w:top w:val="none" w:sz="0" w:space="0" w:color="auto"/>
        <w:left w:val="none" w:sz="0" w:space="0" w:color="auto"/>
        <w:bottom w:val="none" w:sz="0" w:space="0" w:color="auto"/>
        <w:right w:val="none" w:sz="0" w:space="0" w:color="auto"/>
      </w:divBdr>
    </w:div>
    <w:div w:id="1025863445">
      <w:bodyDiv w:val="1"/>
      <w:marLeft w:val="0"/>
      <w:marRight w:val="0"/>
      <w:marTop w:val="0"/>
      <w:marBottom w:val="0"/>
      <w:divBdr>
        <w:top w:val="none" w:sz="0" w:space="0" w:color="auto"/>
        <w:left w:val="none" w:sz="0" w:space="0" w:color="auto"/>
        <w:bottom w:val="none" w:sz="0" w:space="0" w:color="auto"/>
        <w:right w:val="none" w:sz="0" w:space="0" w:color="auto"/>
      </w:divBdr>
    </w:div>
    <w:div w:id="1043867377">
      <w:bodyDiv w:val="1"/>
      <w:marLeft w:val="0"/>
      <w:marRight w:val="0"/>
      <w:marTop w:val="0"/>
      <w:marBottom w:val="0"/>
      <w:divBdr>
        <w:top w:val="none" w:sz="0" w:space="0" w:color="auto"/>
        <w:left w:val="none" w:sz="0" w:space="0" w:color="auto"/>
        <w:bottom w:val="none" w:sz="0" w:space="0" w:color="auto"/>
        <w:right w:val="none" w:sz="0" w:space="0" w:color="auto"/>
      </w:divBdr>
    </w:div>
    <w:div w:id="1060132027">
      <w:bodyDiv w:val="1"/>
      <w:marLeft w:val="0"/>
      <w:marRight w:val="0"/>
      <w:marTop w:val="0"/>
      <w:marBottom w:val="0"/>
      <w:divBdr>
        <w:top w:val="none" w:sz="0" w:space="0" w:color="auto"/>
        <w:left w:val="none" w:sz="0" w:space="0" w:color="auto"/>
        <w:bottom w:val="none" w:sz="0" w:space="0" w:color="auto"/>
        <w:right w:val="none" w:sz="0" w:space="0" w:color="auto"/>
      </w:divBdr>
    </w:div>
    <w:div w:id="1096361705">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59273130">
      <w:bodyDiv w:val="1"/>
      <w:marLeft w:val="0"/>
      <w:marRight w:val="0"/>
      <w:marTop w:val="0"/>
      <w:marBottom w:val="0"/>
      <w:divBdr>
        <w:top w:val="none" w:sz="0" w:space="0" w:color="auto"/>
        <w:left w:val="none" w:sz="0" w:space="0" w:color="auto"/>
        <w:bottom w:val="none" w:sz="0" w:space="0" w:color="auto"/>
        <w:right w:val="none" w:sz="0" w:space="0" w:color="auto"/>
      </w:divBdr>
    </w:div>
    <w:div w:id="1198664736">
      <w:bodyDiv w:val="1"/>
      <w:marLeft w:val="0"/>
      <w:marRight w:val="0"/>
      <w:marTop w:val="0"/>
      <w:marBottom w:val="0"/>
      <w:divBdr>
        <w:top w:val="none" w:sz="0" w:space="0" w:color="auto"/>
        <w:left w:val="none" w:sz="0" w:space="0" w:color="auto"/>
        <w:bottom w:val="none" w:sz="0" w:space="0" w:color="auto"/>
        <w:right w:val="none" w:sz="0" w:space="0" w:color="auto"/>
      </w:divBdr>
    </w:div>
    <w:div w:id="1207108811">
      <w:bodyDiv w:val="1"/>
      <w:marLeft w:val="0"/>
      <w:marRight w:val="0"/>
      <w:marTop w:val="0"/>
      <w:marBottom w:val="0"/>
      <w:divBdr>
        <w:top w:val="none" w:sz="0" w:space="0" w:color="auto"/>
        <w:left w:val="none" w:sz="0" w:space="0" w:color="auto"/>
        <w:bottom w:val="none" w:sz="0" w:space="0" w:color="auto"/>
        <w:right w:val="none" w:sz="0" w:space="0" w:color="auto"/>
      </w:divBdr>
    </w:div>
    <w:div w:id="1233858342">
      <w:bodyDiv w:val="1"/>
      <w:marLeft w:val="0"/>
      <w:marRight w:val="0"/>
      <w:marTop w:val="0"/>
      <w:marBottom w:val="0"/>
      <w:divBdr>
        <w:top w:val="none" w:sz="0" w:space="0" w:color="auto"/>
        <w:left w:val="none" w:sz="0" w:space="0" w:color="auto"/>
        <w:bottom w:val="none" w:sz="0" w:space="0" w:color="auto"/>
        <w:right w:val="none" w:sz="0" w:space="0" w:color="auto"/>
      </w:divBdr>
      <w:divsChild>
        <w:div w:id="236400231">
          <w:marLeft w:val="2131"/>
          <w:marRight w:val="0"/>
          <w:marTop w:val="100"/>
          <w:marBottom w:val="0"/>
          <w:divBdr>
            <w:top w:val="none" w:sz="0" w:space="0" w:color="auto"/>
            <w:left w:val="none" w:sz="0" w:space="0" w:color="auto"/>
            <w:bottom w:val="none" w:sz="0" w:space="0" w:color="auto"/>
            <w:right w:val="none" w:sz="0" w:space="0" w:color="auto"/>
          </w:divBdr>
        </w:div>
        <w:div w:id="377781923">
          <w:marLeft w:val="1426"/>
          <w:marRight w:val="0"/>
          <w:marTop w:val="180"/>
          <w:marBottom w:val="0"/>
          <w:divBdr>
            <w:top w:val="none" w:sz="0" w:space="0" w:color="auto"/>
            <w:left w:val="none" w:sz="0" w:space="0" w:color="auto"/>
            <w:bottom w:val="none" w:sz="0" w:space="0" w:color="auto"/>
            <w:right w:val="none" w:sz="0" w:space="0" w:color="auto"/>
          </w:divBdr>
        </w:div>
        <w:div w:id="964776134">
          <w:marLeft w:val="1858"/>
          <w:marRight w:val="0"/>
          <w:marTop w:val="120"/>
          <w:marBottom w:val="0"/>
          <w:divBdr>
            <w:top w:val="none" w:sz="0" w:space="0" w:color="auto"/>
            <w:left w:val="none" w:sz="0" w:space="0" w:color="auto"/>
            <w:bottom w:val="none" w:sz="0" w:space="0" w:color="auto"/>
            <w:right w:val="none" w:sz="0" w:space="0" w:color="auto"/>
          </w:divBdr>
        </w:div>
        <w:div w:id="2024932838">
          <w:marLeft w:val="1858"/>
          <w:marRight w:val="0"/>
          <w:marTop w:val="120"/>
          <w:marBottom w:val="0"/>
          <w:divBdr>
            <w:top w:val="none" w:sz="0" w:space="0" w:color="auto"/>
            <w:left w:val="none" w:sz="0" w:space="0" w:color="auto"/>
            <w:bottom w:val="none" w:sz="0" w:space="0" w:color="auto"/>
            <w:right w:val="none" w:sz="0" w:space="0" w:color="auto"/>
          </w:divBdr>
        </w:div>
        <w:div w:id="2090732129">
          <w:marLeft w:val="1858"/>
          <w:marRight w:val="0"/>
          <w:marTop w:val="120"/>
          <w:marBottom w:val="0"/>
          <w:divBdr>
            <w:top w:val="none" w:sz="0" w:space="0" w:color="auto"/>
            <w:left w:val="none" w:sz="0" w:space="0" w:color="auto"/>
            <w:bottom w:val="none" w:sz="0" w:space="0" w:color="auto"/>
            <w:right w:val="none" w:sz="0" w:space="0" w:color="auto"/>
          </w:divBdr>
        </w:div>
      </w:divsChild>
    </w:div>
    <w:div w:id="1254897459">
      <w:bodyDiv w:val="1"/>
      <w:marLeft w:val="0"/>
      <w:marRight w:val="0"/>
      <w:marTop w:val="0"/>
      <w:marBottom w:val="0"/>
      <w:divBdr>
        <w:top w:val="none" w:sz="0" w:space="0" w:color="auto"/>
        <w:left w:val="none" w:sz="0" w:space="0" w:color="auto"/>
        <w:bottom w:val="none" w:sz="0" w:space="0" w:color="auto"/>
        <w:right w:val="none" w:sz="0" w:space="0" w:color="auto"/>
      </w:divBdr>
    </w:div>
    <w:div w:id="1257447345">
      <w:bodyDiv w:val="1"/>
      <w:marLeft w:val="0"/>
      <w:marRight w:val="0"/>
      <w:marTop w:val="0"/>
      <w:marBottom w:val="0"/>
      <w:divBdr>
        <w:top w:val="none" w:sz="0" w:space="0" w:color="auto"/>
        <w:left w:val="none" w:sz="0" w:space="0" w:color="auto"/>
        <w:bottom w:val="none" w:sz="0" w:space="0" w:color="auto"/>
        <w:right w:val="none" w:sz="0" w:space="0" w:color="auto"/>
      </w:divBdr>
    </w:div>
    <w:div w:id="1325664696">
      <w:bodyDiv w:val="1"/>
      <w:marLeft w:val="0"/>
      <w:marRight w:val="0"/>
      <w:marTop w:val="0"/>
      <w:marBottom w:val="0"/>
      <w:divBdr>
        <w:top w:val="none" w:sz="0" w:space="0" w:color="auto"/>
        <w:left w:val="none" w:sz="0" w:space="0" w:color="auto"/>
        <w:bottom w:val="none" w:sz="0" w:space="0" w:color="auto"/>
        <w:right w:val="none" w:sz="0" w:space="0" w:color="auto"/>
      </w:divBdr>
      <w:divsChild>
        <w:div w:id="173888855">
          <w:marLeft w:val="274"/>
          <w:marRight w:val="0"/>
          <w:marTop w:val="0"/>
          <w:marBottom w:val="0"/>
          <w:divBdr>
            <w:top w:val="none" w:sz="0" w:space="0" w:color="auto"/>
            <w:left w:val="none" w:sz="0" w:space="0" w:color="auto"/>
            <w:bottom w:val="none" w:sz="0" w:space="0" w:color="auto"/>
            <w:right w:val="none" w:sz="0" w:space="0" w:color="auto"/>
          </w:divBdr>
        </w:div>
        <w:div w:id="933132764">
          <w:marLeft w:val="274"/>
          <w:marRight w:val="0"/>
          <w:marTop w:val="0"/>
          <w:marBottom w:val="0"/>
          <w:divBdr>
            <w:top w:val="none" w:sz="0" w:space="0" w:color="auto"/>
            <w:left w:val="none" w:sz="0" w:space="0" w:color="auto"/>
            <w:bottom w:val="none" w:sz="0" w:space="0" w:color="auto"/>
            <w:right w:val="none" w:sz="0" w:space="0" w:color="auto"/>
          </w:divBdr>
        </w:div>
        <w:div w:id="805313126">
          <w:marLeft w:val="274"/>
          <w:marRight w:val="0"/>
          <w:marTop w:val="0"/>
          <w:marBottom w:val="0"/>
          <w:divBdr>
            <w:top w:val="none" w:sz="0" w:space="0" w:color="auto"/>
            <w:left w:val="none" w:sz="0" w:space="0" w:color="auto"/>
            <w:bottom w:val="none" w:sz="0" w:space="0" w:color="auto"/>
            <w:right w:val="none" w:sz="0" w:space="0" w:color="auto"/>
          </w:divBdr>
        </w:div>
        <w:div w:id="853766713">
          <w:marLeft w:val="274"/>
          <w:marRight w:val="0"/>
          <w:marTop w:val="0"/>
          <w:marBottom w:val="0"/>
          <w:divBdr>
            <w:top w:val="none" w:sz="0" w:space="0" w:color="auto"/>
            <w:left w:val="none" w:sz="0" w:space="0" w:color="auto"/>
            <w:bottom w:val="none" w:sz="0" w:space="0" w:color="auto"/>
            <w:right w:val="none" w:sz="0" w:space="0" w:color="auto"/>
          </w:divBdr>
        </w:div>
        <w:div w:id="92823421">
          <w:marLeft w:val="634"/>
          <w:marRight w:val="0"/>
          <w:marTop w:val="0"/>
          <w:marBottom w:val="0"/>
          <w:divBdr>
            <w:top w:val="none" w:sz="0" w:space="0" w:color="auto"/>
            <w:left w:val="none" w:sz="0" w:space="0" w:color="auto"/>
            <w:bottom w:val="none" w:sz="0" w:space="0" w:color="auto"/>
            <w:right w:val="none" w:sz="0" w:space="0" w:color="auto"/>
          </w:divBdr>
        </w:div>
        <w:div w:id="603539098">
          <w:marLeft w:val="1354"/>
          <w:marRight w:val="0"/>
          <w:marTop w:val="0"/>
          <w:marBottom w:val="0"/>
          <w:divBdr>
            <w:top w:val="none" w:sz="0" w:space="0" w:color="auto"/>
            <w:left w:val="none" w:sz="0" w:space="0" w:color="auto"/>
            <w:bottom w:val="none" w:sz="0" w:space="0" w:color="auto"/>
            <w:right w:val="none" w:sz="0" w:space="0" w:color="auto"/>
          </w:divBdr>
        </w:div>
        <w:div w:id="2127651732">
          <w:marLeft w:val="1354"/>
          <w:marRight w:val="0"/>
          <w:marTop w:val="0"/>
          <w:marBottom w:val="0"/>
          <w:divBdr>
            <w:top w:val="none" w:sz="0" w:space="0" w:color="auto"/>
            <w:left w:val="none" w:sz="0" w:space="0" w:color="auto"/>
            <w:bottom w:val="none" w:sz="0" w:space="0" w:color="auto"/>
            <w:right w:val="none" w:sz="0" w:space="0" w:color="auto"/>
          </w:divBdr>
        </w:div>
        <w:div w:id="1378701206">
          <w:marLeft w:val="634"/>
          <w:marRight w:val="0"/>
          <w:marTop w:val="0"/>
          <w:marBottom w:val="0"/>
          <w:divBdr>
            <w:top w:val="none" w:sz="0" w:space="0" w:color="auto"/>
            <w:left w:val="none" w:sz="0" w:space="0" w:color="auto"/>
            <w:bottom w:val="none" w:sz="0" w:space="0" w:color="auto"/>
            <w:right w:val="none" w:sz="0" w:space="0" w:color="auto"/>
          </w:divBdr>
        </w:div>
        <w:div w:id="163014917">
          <w:marLeft w:val="634"/>
          <w:marRight w:val="0"/>
          <w:marTop w:val="0"/>
          <w:marBottom w:val="0"/>
          <w:divBdr>
            <w:top w:val="none" w:sz="0" w:space="0" w:color="auto"/>
            <w:left w:val="none" w:sz="0" w:space="0" w:color="auto"/>
            <w:bottom w:val="none" w:sz="0" w:space="0" w:color="auto"/>
            <w:right w:val="none" w:sz="0" w:space="0" w:color="auto"/>
          </w:divBdr>
        </w:div>
        <w:div w:id="199707415">
          <w:marLeft w:val="274"/>
          <w:marRight w:val="0"/>
          <w:marTop w:val="0"/>
          <w:marBottom w:val="0"/>
          <w:divBdr>
            <w:top w:val="none" w:sz="0" w:space="0" w:color="auto"/>
            <w:left w:val="none" w:sz="0" w:space="0" w:color="auto"/>
            <w:bottom w:val="none" w:sz="0" w:space="0" w:color="auto"/>
            <w:right w:val="none" w:sz="0" w:space="0" w:color="auto"/>
          </w:divBdr>
        </w:div>
        <w:div w:id="480082928">
          <w:marLeft w:val="274"/>
          <w:marRight w:val="0"/>
          <w:marTop w:val="0"/>
          <w:marBottom w:val="0"/>
          <w:divBdr>
            <w:top w:val="none" w:sz="0" w:space="0" w:color="auto"/>
            <w:left w:val="none" w:sz="0" w:space="0" w:color="auto"/>
            <w:bottom w:val="none" w:sz="0" w:space="0" w:color="auto"/>
            <w:right w:val="none" w:sz="0" w:space="0" w:color="auto"/>
          </w:divBdr>
        </w:div>
        <w:div w:id="744375949">
          <w:marLeft w:val="720"/>
          <w:marRight w:val="0"/>
          <w:marTop w:val="0"/>
          <w:marBottom w:val="0"/>
          <w:divBdr>
            <w:top w:val="none" w:sz="0" w:space="0" w:color="auto"/>
            <w:left w:val="none" w:sz="0" w:space="0" w:color="auto"/>
            <w:bottom w:val="none" w:sz="0" w:space="0" w:color="auto"/>
            <w:right w:val="none" w:sz="0" w:space="0" w:color="auto"/>
          </w:divBdr>
        </w:div>
        <w:div w:id="95643133">
          <w:marLeft w:val="720"/>
          <w:marRight w:val="0"/>
          <w:marTop w:val="0"/>
          <w:marBottom w:val="0"/>
          <w:divBdr>
            <w:top w:val="none" w:sz="0" w:space="0" w:color="auto"/>
            <w:left w:val="none" w:sz="0" w:space="0" w:color="auto"/>
            <w:bottom w:val="none" w:sz="0" w:space="0" w:color="auto"/>
            <w:right w:val="none" w:sz="0" w:space="0" w:color="auto"/>
          </w:divBdr>
        </w:div>
        <w:div w:id="296835546">
          <w:marLeft w:val="720"/>
          <w:marRight w:val="0"/>
          <w:marTop w:val="0"/>
          <w:marBottom w:val="0"/>
          <w:divBdr>
            <w:top w:val="none" w:sz="0" w:space="0" w:color="auto"/>
            <w:left w:val="none" w:sz="0" w:space="0" w:color="auto"/>
            <w:bottom w:val="none" w:sz="0" w:space="0" w:color="auto"/>
            <w:right w:val="none" w:sz="0" w:space="0" w:color="auto"/>
          </w:divBdr>
        </w:div>
        <w:div w:id="1207910500">
          <w:marLeft w:val="274"/>
          <w:marRight w:val="0"/>
          <w:marTop w:val="0"/>
          <w:marBottom w:val="0"/>
          <w:divBdr>
            <w:top w:val="none" w:sz="0" w:space="0" w:color="auto"/>
            <w:left w:val="none" w:sz="0" w:space="0" w:color="auto"/>
            <w:bottom w:val="none" w:sz="0" w:space="0" w:color="auto"/>
            <w:right w:val="none" w:sz="0" w:space="0" w:color="auto"/>
          </w:divBdr>
        </w:div>
      </w:divsChild>
    </w:div>
    <w:div w:id="1331563157">
      <w:bodyDiv w:val="1"/>
      <w:marLeft w:val="0"/>
      <w:marRight w:val="0"/>
      <w:marTop w:val="0"/>
      <w:marBottom w:val="0"/>
      <w:divBdr>
        <w:top w:val="none" w:sz="0" w:space="0" w:color="auto"/>
        <w:left w:val="none" w:sz="0" w:space="0" w:color="auto"/>
        <w:bottom w:val="none" w:sz="0" w:space="0" w:color="auto"/>
        <w:right w:val="none" w:sz="0" w:space="0" w:color="auto"/>
      </w:divBdr>
    </w:div>
    <w:div w:id="1331830669">
      <w:bodyDiv w:val="1"/>
      <w:marLeft w:val="0"/>
      <w:marRight w:val="0"/>
      <w:marTop w:val="0"/>
      <w:marBottom w:val="0"/>
      <w:divBdr>
        <w:top w:val="none" w:sz="0" w:space="0" w:color="auto"/>
        <w:left w:val="none" w:sz="0" w:space="0" w:color="auto"/>
        <w:bottom w:val="none" w:sz="0" w:space="0" w:color="auto"/>
        <w:right w:val="none" w:sz="0" w:space="0" w:color="auto"/>
      </w:divBdr>
    </w:div>
    <w:div w:id="1333071201">
      <w:bodyDiv w:val="1"/>
      <w:marLeft w:val="0"/>
      <w:marRight w:val="0"/>
      <w:marTop w:val="0"/>
      <w:marBottom w:val="0"/>
      <w:divBdr>
        <w:top w:val="none" w:sz="0" w:space="0" w:color="auto"/>
        <w:left w:val="none" w:sz="0" w:space="0" w:color="auto"/>
        <w:bottom w:val="none" w:sz="0" w:space="0" w:color="auto"/>
        <w:right w:val="none" w:sz="0" w:space="0" w:color="auto"/>
      </w:divBdr>
      <w:divsChild>
        <w:div w:id="1923636687">
          <w:marLeft w:val="547"/>
          <w:marRight w:val="0"/>
          <w:marTop w:val="0"/>
          <w:marBottom w:val="0"/>
          <w:divBdr>
            <w:top w:val="none" w:sz="0" w:space="0" w:color="auto"/>
            <w:left w:val="none" w:sz="0" w:space="0" w:color="auto"/>
            <w:bottom w:val="none" w:sz="0" w:space="0" w:color="auto"/>
            <w:right w:val="none" w:sz="0" w:space="0" w:color="auto"/>
          </w:divBdr>
        </w:div>
        <w:div w:id="1491485874">
          <w:marLeft w:val="547"/>
          <w:marRight w:val="0"/>
          <w:marTop w:val="0"/>
          <w:marBottom w:val="0"/>
          <w:divBdr>
            <w:top w:val="none" w:sz="0" w:space="0" w:color="auto"/>
            <w:left w:val="none" w:sz="0" w:space="0" w:color="auto"/>
            <w:bottom w:val="none" w:sz="0" w:space="0" w:color="auto"/>
            <w:right w:val="none" w:sz="0" w:space="0" w:color="auto"/>
          </w:divBdr>
        </w:div>
        <w:div w:id="1567491358">
          <w:marLeft w:val="1166"/>
          <w:marRight w:val="0"/>
          <w:marTop w:val="0"/>
          <w:marBottom w:val="0"/>
          <w:divBdr>
            <w:top w:val="none" w:sz="0" w:space="0" w:color="auto"/>
            <w:left w:val="none" w:sz="0" w:space="0" w:color="auto"/>
            <w:bottom w:val="none" w:sz="0" w:space="0" w:color="auto"/>
            <w:right w:val="none" w:sz="0" w:space="0" w:color="auto"/>
          </w:divBdr>
        </w:div>
        <w:div w:id="822625897">
          <w:marLeft w:val="1166"/>
          <w:marRight w:val="0"/>
          <w:marTop w:val="0"/>
          <w:marBottom w:val="0"/>
          <w:divBdr>
            <w:top w:val="none" w:sz="0" w:space="0" w:color="auto"/>
            <w:left w:val="none" w:sz="0" w:space="0" w:color="auto"/>
            <w:bottom w:val="none" w:sz="0" w:space="0" w:color="auto"/>
            <w:right w:val="none" w:sz="0" w:space="0" w:color="auto"/>
          </w:divBdr>
        </w:div>
      </w:divsChild>
    </w:div>
    <w:div w:id="1351836269">
      <w:bodyDiv w:val="1"/>
      <w:marLeft w:val="0"/>
      <w:marRight w:val="0"/>
      <w:marTop w:val="0"/>
      <w:marBottom w:val="0"/>
      <w:divBdr>
        <w:top w:val="none" w:sz="0" w:space="0" w:color="auto"/>
        <w:left w:val="none" w:sz="0" w:space="0" w:color="auto"/>
        <w:bottom w:val="none" w:sz="0" w:space="0" w:color="auto"/>
        <w:right w:val="none" w:sz="0" w:space="0" w:color="auto"/>
      </w:divBdr>
      <w:divsChild>
        <w:div w:id="1225992260">
          <w:marLeft w:val="547"/>
          <w:marRight w:val="0"/>
          <w:marTop w:val="86"/>
          <w:marBottom w:val="0"/>
          <w:divBdr>
            <w:top w:val="none" w:sz="0" w:space="0" w:color="auto"/>
            <w:left w:val="none" w:sz="0" w:space="0" w:color="auto"/>
            <w:bottom w:val="none" w:sz="0" w:space="0" w:color="auto"/>
            <w:right w:val="none" w:sz="0" w:space="0" w:color="auto"/>
          </w:divBdr>
        </w:div>
      </w:divsChild>
    </w:div>
    <w:div w:id="1355037406">
      <w:bodyDiv w:val="1"/>
      <w:marLeft w:val="0"/>
      <w:marRight w:val="0"/>
      <w:marTop w:val="0"/>
      <w:marBottom w:val="0"/>
      <w:divBdr>
        <w:top w:val="none" w:sz="0" w:space="0" w:color="auto"/>
        <w:left w:val="none" w:sz="0" w:space="0" w:color="auto"/>
        <w:bottom w:val="none" w:sz="0" w:space="0" w:color="auto"/>
        <w:right w:val="none" w:sz="0" w:space="0" w:color="auto"/>
      </w:divBdr>
    </w:div>
    <w:div w:id="1385373557">
      <w:bodyDiv w:val="1"/>
      <w:marLeft w:val="0"/>
      <w:marRight w:val="0"/>
      <w:marTop w:val="0"/>
      <w:marBottom w:val="0"/>
      <w:divBdr>
        <w:top w:val="none" w:sz="0" w:space="0" w:color="auto"/>
        <w:left w:val="none" w:sz="0" w:space="0" w:color="auto"/>
        <w:bottom w:val="none" w:sz="0" w:space="0" w:color="auto"/>
        <w:right w:val="none" w:sz="0" w:space="0" w:color="auto"/>
      </w:divBdr>
    </w:div>
    <w:div w:id="1394350547">
      <w:bodyDiv w:val="1"/>
      <w:marLeft w:val="0"/>
      <w:marRight w:val="0"/>
      <w:marTop w:val="0"/>
      <w:marBottom w:val="0"/>
      <w:divBdr>
        <w:top w:val="none" w:sz="0" w:space="0" w:color="auto"/>
        <w:left w:val="none" w:sz="0" w:space="0" w:color="auto"/>
        <w:bottom w:val="none" w:sz="0" w:space="0" w:color="auto"/>
        <w:right w:val="none" w:sz="0" w:space="0" w:color="auto"/>
      </w:divBdr>
    </w:div>
    <w:div w:id="1407651475">
      <w:bodyDiv w:val="1"/>
      <w:marLeft w:val="0"/>
      <w:marRight w:val="0"/>
      <w:marTop w:val="0"/>
      <w:marBottom w:val="0"/>
      <w:divBdr>
        <w:top w:val="none" w:sz="0" w:space="0" w:color="auto"/>
        <w:left w:val="none" w:sz="0" w:space="0" w:color="auto"/>
        <w:bottom w:val="none" w:sz="0" w:space="0" w:color="auto"/>
        <w:right w:val="none" w:sz="0" w:space="0" w:color="auto"/>
      </w:divBdr>
    </w:div>
    <w:div w:id="1408502338">
      <w:bodyDiv w:val="1"/>
      <w:marLeft w:val="0"/>
      <w:marRight w:val="0"/>
      <w:marTop w:val="0"/>
      <w:marBottom w:val="0"/>
      <w:divBdr>
        <w:top w:val="none" w:sz="0" w:space="0" w:color="auto"/>
        <w:left w:val="none" w:sz="0" w:space="0" w:color="auto"/>
        <w:bottom w:val="none" w:sz="0" w:space="0" w:color="auto"/>
        <w:right w:val="none" w:sz="0" w:space="0" w:color="auto"/>
      </w:divBdr>
    </w:div>
    <w:div w:id="1412507322">
      <w:bodyDiv w:val="1"/>
      <w:marLeft w:val="0"/>
      <w:marRight w:val="0"/>
      <w:marTop w:val="0"/>
      <w:marBottom w:val="0"/>
      <w:divBdr>
        <w:top w:val="none" w:sz="0" w:space="0" w:color="auto"/>
        <w:left w:val="none" w:sz="0" w:space="0" w:color="auto"/>
        <w:bottom w:val="none" w:sz="0" w:space="0" w:color="auto"/>
        <w:right w:val="none" w:sz="0" w:space="0" w:color="auto"/>
      </w:divBdr>
    </w:div>
    <w:div w:id="1416778080">
      <w:bodyDiv w:val="1"/>
      <w:marLeft w:val="0"/>
      <w:marRight w:val="0"/>
      <w:marTop w:val="0"/>
      <w:marBottom w:val="0"/>
      <w:divBdr>
        <w:top w:val="none" w:sz="0" w:space="0" w:color="auto"/>
        <w:left w:val="none" w:sz="0" w:space="0" w:color="auto"/>
        <w:bottom w:val="none" w:sz="0" w:space="0" w:color="auto"/>
        <w:right w:val="none" w:sz="0" w:space="0" w:color="auto"/>
      </w:divBdr>
    </w:div>
    <w:div w:id="1429351448">
      <w:bodyDiv w:val="1"/>
      <w:marLeft w:val="0"/>
      <w:marRight w:val="0"/>
      <w:marTop w:val="0"/>
      <w:marBottom w:val="0"/>
      <w:divBdr>
        <w:top w:val="none" w:sz="0" w:space="0" w:color="auto"/>
        <w:left w:val="none" w:sz="0" w:space="0" w:color="auto"/>
        <w:bottom w:val="none" w:sz="0" w:space="0" w:color="auto"/>
        <w:right w:val="none" w:sz="0" w:space="0" w:color="auto"/>
      </w:divBdr>
    </w:div>
    <w:div w:id="1440291784">
      <w:bodyDiv w:val="1"/>
      <w:marLeft w:val="0"/>
      <w:marRight w:val="0"/>
      <w:marTop w:val="0"/>
      <w:marBottom w:val="0"/>
      <w:divBdr>
        <w:top w:val="none" w:sz="0" w:space="0" w:color="auto"/>
        <w:left w:val="none" w:sz="0" w:space="0" w:color="auto"/>
        <w:bottom w:val="none" w:sz="0" w:space="0" w:color="auto"/>
        <w:right w:val="none" w:sz="0" w:space="0" w:color="auto"/>
      </w:divBdr>
    </w:div>
    <w:div w:id="1457529191">
      <w:bodyDiv w:val="1"/>
      <w:marLeft w:val="0"/>
      <w:marRight w:val="0"/>
      <w:marTop w:val="0"/>
      <w:marBottom w:val="0"/>
      <w:divBdr>
        <w:top w:val="none" w:sz="0" w:space="0" w:color="auto"/>
        <w:left w:val="none" w:sz="0" w:space="0" w:color="auto"/>
        <w:bottom w:val="none" w:sz="0" w:space="0" w:color="auto"/>
        <w:right w:val="none" w:sz="0" w:space="0" w:color="auto"/>
      </w:divBdr>
    </w:div>
    <w:div w:id="1473909204">
      <w:bodyDiv w:val="1"/>
      <w:marLeft w:val="0"/>
      <w:marRight w:val="0"/>
      <w:marTop w:val="0"/>
      <w:marBottom w:val="0"/>
      <w:divBdr>
        <w:top w:val="none" w:sz="0" w:space="0" w:color="auto"/>
        <w:left w:val="none" w:sz="0" w:space="0" w:color="auto"/>
        <w:bottom w:val="none" w:sz="0" w:space="0" w:color="auto"/>
        <w:right w:val="none" w:sz="0" w:space="0" w:color="auto"/>
      </w:divBdr>
    </w:div>
    <w:div w:id="1475609183">
      <w:bodyDiv w:val="1"/>
      <w:marLeft w:val="0"/>
      <w:marRight w:val="0"/>
      <w:marTop w:val="0"/>
      <w:marBottom w:val="0"/>
      <w:divBdr>
        <w:top w:val="none" w:sz="0" w:space="0" w:color="auto"/>
        <w:left w:val="none" w:sz="0" w:space="0" w:color="auto"/>
        <w:bottom w:val="none" w:sz="0" w:space="0" w:color="auto"/>
        <w:right w:val="none" w:sz="0" w:space="0" w:color="auto"/>
      </w:divBdr>
    </w:div>
    <w:div w:id="1487235188">
      <w:bodyDiv w:val="1"/>
      <w:marLeft w:val="0"/>
      <w:marRight w:val="0"/>
      <w:marTop w:val="0"/>
      <w:marBottom w:val="0"/>
      <w:divBdr>
        <w:top w:val="none" w:sz="0" w:space="0" w:color="auto"/>
        <w:left w:val="none" w:sz="0" w:space="0" w:color="auto"/>
        <w:bottom w:val="none" w:sz="0" w:space="0" w:color="auto"/>
        <w:right w:val="none" w:sz="0" w:space="0" w:color="auto"/>
      </w:divBdr>
      <w:divsChild>
        <w:div w:id="1010378189">
          <w:marLeft w:val="547"/>
          <w:marRight w:val="0"/>
          <w:marTop w:val="0"/>
          <w:marBottom w:val="0"/>
          <w:divBdr>
            <w:top w:val="none" w:sz="0" w:space="0" w:color="auto"/>
            <w:left w:val="none" w:sz="0" w:space="0" w:color="auto"/>
            <w:bottom w:val="none" w:sz="0" w:space="0" w:color="auto"/>
            <w:right w:val="none" w:sz="0" w:space="0" w:color="auto"/>
          </w:divBdr>
        </w:div>
        <w:div w:id="1992518810">
          <w:marLeft w:val="547"/>
          <w:marRight w:val="0"/>
          <w:marTop w:val="0"/>
          <w:marBottom w:val="0"/>
          <w:divBdr>
            <w:top w:val="none" w:sz="0" w:space="0" w:color="auto"/>
            <w:left w:val="none" w:sz="0" w:space="0" w:color="auto"/>
            <w:bottom w:val="none" w:sz="0" w:space="0" w:color="auto"/>
            <w:right w:val="none" w:sz="0" w:space="0" w:color="auto"/>
          </w:divBdr>
        </w:div>
        <w:div w:id="1941452091">
          <w:marLeft w:val="1166"/>
          <w:marRight w:val="0"/>
          <w:marTop w:val="0"/>
          <w:marBottom w:val="0"/>
          <w:divBdr>
            <w:top w:val="none" w:sz="0" w:space="0" w:color="auto"/>
            <w:left w:val="none" w:sz="0" w:space="0" w:color="auto"/>
            <w:bottom w:val="none" w:sz="0" w:space="0" w:color="auto"/>
            <w:right w:val="none" w:sz="0" w:space="0" w:color="auto"/>
          </w:divBdr>
        </w:div>
        <w:div w:id="929196292">
          <w:marLeft w:val="1166"/>
          <w:marRight w:val="0"/>
          <w:marTop w:val="0"/>
          <w:marBottom w:val="0"/>
          <w:divBdr>
            <w:top w:val="none" w:sz="0" w:space="0" w:color="auto"/>
            <w:left w:val="none" w:sz="0" w:space="0" w:color="auto"/>
            <w:bottom w:val="none" w:sz="0" w:space="0" w:color="auto"/>
            <w:right w:val="none" w:sz="0" w:space="0" w:color="auto"/>
          </w:divBdr>
        </w:div>
      </w:divsChild>
    </w:div>
    <w:div w:id="1488089232">
      <w:bodyDiv w:val="1"/>
      <w:marLeft w:val="0"/>
      <w:marRight w:val="0"/>
      <w:marTop w:val="0"/>
      <w:marBottom w:val="0"/>
      <w:divBdr>
        <w:top w:val="none" w:sz="0" w:space="0" w:color="auto"/>
        <w:left w:val="none" w:sz="0" w:space="0" w:color="auto"/>
        <w:bottom w:val="none" w:sz="0" w:space="0" w:color="auto"/>
        <w:right w:val="none" w:sz="0" w:space="0" w:color="auto"/>
      </w:divBdr>
    </w:div>
    <w:div w:id="1492713790">
      <w:bodyDiv w:val="1"/>
      <w:marLeft w:val="0"/>
      <w:marRight w:val="0"/>
      <w:marTop w:val="0"/>
      <w:marBottom w:val="0"/>
      <w:divBdr>
        <w:top w:val="none" w:sz="0" w:space="0" w:color="auto"/>
        <w:left w:val="none" w:sz="0" w:space="0" w:color="auto"/>
        <w:bottom w:val="none" w:sz="0" w:space="0" w:color="auto"/>
        <w:right w:val="none" w:sz="0" w:space="0" w:color="auto"/>
      </w:divBdr>
      <w:divsChild>
        <w:div w:id="667441730">
          <w:marLeft w:val="1166"/>
          <w:marRight w:val="0"/>
          <w:marTop w:val="67"/>
          <w:marBottom w:val="0"/>
          <w:divBdr>
            <w:top w:val="none" w:sz="0" w:space="0" w:color="auto"/>
            <w:left w:val="none" w:sz="0" w:space="0" w:color="auto"/>
            <w:bottom w:val="none" w:sz="0" w:space="0" w:color="auto"/>
            <w:right w:val="none" w:sz="0" w:space="0" w:color="auto"/>
          </w:divBdr>
        </w:div>
        <w:div w:id="1448237942">
          <w:marLeft w:val="1166"/>
          <w:marRight w:val="0"/>
          <w:marTop w:val="67"/>
          <w:marBottom w:val="0"/>
          <w:divBdr>
            <w:top w:val="none" w:sz="0" w:space="0" w:color="auto"/>
            <w:left w:val="none" w:sz="0" w:space="0" w:color="auto"/>
            <w:bottom w:val="none" w:sz="0" w:space="0" w:color="auto"/>
            <w:right w:val="none" w:sz="0" w:space="0" w:color="auto"/>
          </w:divBdr>
        </w:div>
        <w:div w:id="2049522558">
          <w:marLeft w:val="1166"/>
          <w:marRight w:val="0"/>
          <w:marTop w:val="67"/>
          <w:marBottom w:val="0"/>
          <w:divBdr>
            <w:top w:val="none" w:sz="0" w:space="0" w:color="auto"/>
            <w:left w:val="none" w:sz="0" w:space="0" w:color="auto"/>
            <w:bottom w:val="none" w:sz="0" w:space="0" w:color="auto"/>
            <w:right w:val="none" w:sz="0" w:space="0" w:color="auto"/>
          </w:divBdr>
        </w:div>
      </w:divsChild>
    </w:div>
    <w:div w:id="1494760768">
      <w:bodyDiv w:val="1"/>
      <w:marLeft w:val="0"/>
      <w:marRight w:val="0"/>
      <w:marTop w:val="0"/>
      <w:marBottom w:val="0"/>
      <w:divBdr>
        <w:top w:val="none" w:sz="0" w:space="0" w:color="auto"/>
        <w:left w:val="none" w:sz="0" w:space="0" w:color="auto"/>
        <w:bottom w:val="none" w:sz="0" w:space="0" w:color="auto"/>
        <w:right w:val="none" w:sz="0" w:space="0" w:color="auto"/>
      </w:divBdr>
      <w:divsChild>
        <w:div w:id="606620547">
          <w:marLeft w:val="547"/>
          <w:marRight w:val="0"/>
          <w:marTop w:val="0"/>
          <w:marBottom w:val="0"/>
          <w:divBdr>
            <w:top w:val="none" w:sz="0" w:space="0" w:color="auto"/>
            <w:left w:val="none" w:sz="0" w:space="0" w:color="auto"/>
            <w:bottom w:val="none" w:sz="0" w:space="0" w:color="auto"/>
            <w:right w:val="none" w:sz="0" w:space="0" w:color="auto"/>
          </w:divBdr>
        </w:div>
        <w:div w:id="1677806793">
          <w:marLeft w:val="547"/>
          <w:marRight w:val="0"/>
          <w:marTop w:val="0"/>
          <w:marBottom w:val="0"/>
          <w:divBdr>
            <w:top w:val="none" w:sz="0" w:space="0" w:color="auto"/>
            <w:left w:val="none" w:sz="0" w:space="0" w:color="auto"/>
            <w:bottom w:val="none" w:sz="0" w:space="0" w:color="auto"/>
            <w:right w:val="none" w:sz="0" w:space="0" w:color="auto"/>
          </w:divBdr>
        </w:div>
      </w:divsChild>
    </w:div>
    <w:div w:id="1497644474">
      <w:bodyDiv w:val="1"/>
      <w:marLeft w:val="0"/>
      <w:marRight w:val="0"/>
      <w:marTop w:val="0"/>
      <w:marBottom w:val="0"/>
      <w:divBdr>
        <w:top w:val="none" w:sz="0" w:space="0" w:color="auto"/>
        <w:left w:val="none" w:sz="0" w:space="0" w:color="auto"/>
        <w:bottom w:val="none" w:sz="0" w:space="0" w:color="auto"/>
        <w:right w:val="none" w:sz="0" w:space="0" w:color="auto"/>
      </w:divBdr>
      <w:divsChild>
        <w:div w:id="1394356106">
          <w:marLeft w:val="547"/>
          <w:marRight w:val="0"/>
          <w:marTop w:val="77"/>
          <w:marBottom w:val="0"/>
          <w:divBdr>
            <w:top w:val="none" w:sz="0" w:space="0" w:color="auto"/>
            <w:left w:val="none" w:sz="0" w:space="0" w:color="auto"/>
            <w:bottom w:val="none" w:sz="0" w:space="0" w:color="auto"/>
            <w:right w:val="none" w:sz="0" w:space="0" w:color="auto"/>
          </w:divBdr>
        </w:div>
      </w:divsChild>
    </w:div>
    <w:div w:id="1499030567">
      <w:bodyDiv w:val="1"/>
      <w:marLeft w:val="0"/>
      <w:marRight w:val="0"/>
      <w:marTop w:val="0"/>
      <w:marBottom w:val="0"/>
      <w:divBdr>
        <w:top w:val="none" w:sz="0" w:space="0" w:color="auto"/>
        <w:left w:val="none" w:sz="0" w:space="0" w:color="auto"/>
        <w:bottom w:val="none" w:sz="0" w:space="0" w:color="auto"/>
        <w:right w:val="none" w:sz="0" w:space="0" w:color="auto"/>
      </w:divBdr>
    </w:div>
    <w:div w:id="1513685418">
      <w:bodyDiv w:val="1"/>
      <w:marLeft w:val="0"/>
      <w:marRight w:val="0"/>
      <w:marTop w:val="0"/>
      <w:marBottom w:val="0"/>
      <w:divBdr>
        <w:top w:val="none" w:sz="0" w:space="0" w:color="auto"/>
        <w:left w:val="none" w:sz="0" w:space="0" w:color="auto"/>
        <w:bottom w:val="none" w:sz="0" w:space="0" w:color="auto"/>
        <w:right w:val="none" w:sz="0" w:space="0" w:color="auto"/>
      </w:divBdr>
    </w:div>
    <w:div w:id="1525174300">
      <w:bodyDiv w:val="1"/>
      <w:marLeft w:val="0"/>
      <w:marRight w:val="0"/>
      <w:marTop w:val="0"/>
      <w:marBottom w:val="0"/>
      <w:divBdr>
        <w:top w:val="none" w:sz="0" w:space="0" w:color="auto"/>
        <w:left w:val="none" w:sz="0" w:space="0" w:color="auto"/>
        <w:bottom w:val="none" w:sz="0" w:space="0" w:color="auto"/>
        <w:right w:val="none" w:sz="0" w:space="0" w:color="auto"/>
      </w:divBdr>
      <w:divsChild>
        <w:div w:id="496192871">
          <w:marLeft w:val="1800"/>
          <w:marRight w:val="0"/>
          <w:marTop w:val="72"/>
          <w:marBottom w:val="0"/>
          <w:divBdr>
            <w:top w:val="none" w:sz="0" w:space="0" w:color="auto"/>
            <w:left w:val="none" w:sz="0" w:space="0" w:color="auto"/>
            <w:bottom w:val="none" w:sz="0" w:space="0" w:color="auto"/>
            <w:right w:val="none" w:sz="0" w:space="0" w:color="auto"/>
          </w:divBdr>
        </w:div>
        <w:div w:id="573899418">
          <w:marLeft w:val="1800"/>
          <w:marRight w:val="0"/>
          <w:marTop w:val="72"/>
          <w:marBottom w:val="0"/>
          <w:divBdr>
            <w:top w:val="none" w:sz="0" w:space="0" w:color="auto"/>
            <w:left w:val="none" w:sz="0" w:space="0" w:color="auto"/>
            <w:bottom w:val="none" w:sz="0" w:space="0" w:color="auto"/>
            <w:right w:val="none" w:sz="0" w:space="0" w:color="auto"/>
          </w:divBdr>
        </w:div>
        <w:div w:id="582447415">
          <w:marLeft w:val="1800"/>
          <w:marRight w:val="0"/>
          <w:marTop w:val="72"/>
          <w:marBottom w:val="0"/>
          <w:divBdr>
            <w:top w:val="none" w:sz="0" w:space="0" w:color="auto"/>
            <w:left w:val="none" w:sz="0" w:space="0" w:color="auto"/>
            <w:bottom w:val="none" w:sz="0" w:space="0" w:color="auto"/>
            <w:right w:val="none" w:sz="0" w:space="0" w:color="auto"/>
          </w:divBdr>
        </w:div>
        <w:div w:id="714499719">
          <w:marLeft w:val="1166"/>
          <w:marRight w:val="0"/>
          <w:marTop w:val="86"/>
          <w:marBottom w:val="0"/>
          <w:divBdr>
            <w:top w:val="none" w:sz="0" w:space="0" w:color="auto"/>
            <w:left w:val="none" w:sz="0" w:space="0" w:color="auto"/>
            <w:bottom w:val="none" w:sz="0" w:space="0" w:color="auto"/>
            <w:right w:val="none" w:sz="0" w:space="0" w:color="auto"/>
          </w:divBdr>
        </w:div>
        <w:div w:id="1015614547">
          <w:marLeft w:val="1166"/>
          <w:marRight w:val="0"/>
          <w:marTop w:val="86"/>
          <w:marBottom w:val="0"/>
          <w:divBdr>
            <w:top w:val="none" w:sz="0" w:space="0" w:color="auto"/>
            <w:left w:val="none" w:sz="0" w:space="0" w:color="auto"/>
            <w:bottom w:val="none" w:sz="0" w:space="0" w:color="auto"/>
            <w:right w:val="none" w:sz="0" w:space="0" w:color="auto"/>
          </w:divBdr>
        </w:div>
        <w:div w:id="1292127623">
          <w:marLeft w:val="1800"/>
          <w:marRight w:val="0"/>
          <w:marTop w:val="72"/>
          <w:marBottom w:val="0"/>
          <w:divBdr>
            <w:top w:val="none" w:sz="0" w:space="0" w:color="auto"/>
            <w:left w:val="none" w:sz="0" w:space="0" w:color="auto"/>
            <w:bottom w:val="none" w:sz="0" w:space="0" w:color="auto"/>
            <w:right w:val="none" w:sz="0" w:space="0" w:color="auto"/>
          </w:divBdr>
        </w:div>
        <w:div w:id="1299143838">
          <w:marLeft w:val="1166"/>
          <w:marRight w:val="0"/>
          <w:marTop w:val="86"/>
          <w:marBottom w:val="0"/>
          <w:divBdr>
            <w:top w:val="none" w:sz="0" w:space="0" w:color="auto"/>
            <w:left w:val="none" w:sz="0" w:space="0" w:color="auto"/>
            <w:bottom w:val="none" w:sz="0" w:space="0" w:color="auto"/>
            <w:right w:val="none" w:sz="0" w:space="0" w:color="auto"/>
          </w:divBdr>
        </w:div>
        <w:div w:id="1440833281">
          <w:marLeft w:val="1166"/>
          <w:marRight w:val="0"/>
          <w:marTop w:val="86"/>
          <w:marBottom w:val="0"/>
          <w:divBdr>
            <w:top w:val="none" w:sz="0" w:space="0" w:color="auto"/>
            <w:left w:val="none" w:sz="0" w:space="0" w:color="auto"/>
            <w:bottom w:val="none" w:sz="0" w:space="0" w:color="auto"/>
            <w:right w:val="none" w:sz="0" w:space="0" w:color="auto"/>
          </w:divBdr>
        </w:div>
        <w:div w:id="1443768904">
          <w:marLeft w:val="547"/>
          <w:marRight w:val="0"/>
          <w:marTop w:val="96"/>
          <w:marBottom w:val="0"/>
          <w:divBdr>
            <w:top w:val="none" w:sz="0" w:space="0" w:color="auto"/>
            <w:left w:val="none" w:sz="0" w:space="0" w:color="auto"/>
            <w:bottom w:val="none" w:sz="0" w:space="0" w:color="auto"/>
            <w:right w:val="none" w:sz="0" w:space="0" w:color="auto"/>
          </w:divBdr>
        </w:div>
        <w:div w:id="1543518284">
          <w:marLeft w:val="547"/>
          <w:marRight w:val="0"/>
          <w:marTop w:val="96"/>
          <w:marBottom w:val="0"/>
          <w:divBdr>
            <w:top w:val="none" w:sz="0" w:space="0" w:color="auto"/>
            <w:left w:val="none" w:sz="0" w:space="0" w:color="auto"/>
            <w:bottom w:val="none" w:sz="0" w:space="0" w:color="auto"/>
            <w:right w:val="none" w:sz="0" w:space="0" w:color="auto"/>
          </w:divBdr>
        </w:div>
        <w:div w:id="1680422245">
          <w:marLeft w:val="1166"/>
          <w:marRight w:val="0"/>
          <w:marTop w:val="86"/>
          <w:marBottom w:val="0"/>
          <w:divBdr>
            <w:top w:val="none" w:sz="0" w:space="0" w:color="auto"/>
            <w:left w:val="none" w:sz="0" w:space="0" w:color="auto"/>
            <w:bottom w:val="none" w:sz="0" w:space="0" w:color="auto"/>
            <w:right w:val="none" w:sz="0" w:space="0" w:color="auto"/>
          </w:divBdr>
        </w:div>
        <w:div w:id="1806459141">
          <w:marLeft w:val="1166"/>
          <w:marRight w:val="0"/>
          <w:marTop w:val="86"/>
          <w:marBottom w:val="0"/>
          <w:divBdr>
            <w:top w:val="none" w:sz="0" w:space="0" w:color="auto"/>
            <w:left w:val="none" w:sz="0" w:space="0" w:color="auto"/>
            <w:bottom w:val="none" w:sz="0" w:space="0" w:color="auto"/>
            <w:right w:val="none" w:sz="0" w:space="0" w:color="auto"/>
          </w:divBdr>
        </w:div>
        <w:div w:id="1875658234">
          <w:marLeft w:val="547"/>
          <w:marRight w:val="0"/>
          <w:marTop w:val="96"/>
          <w:marBottom w:val="0"/>
          <w:divBdr>
            <w:top w:val="none" w:sz="0" w:space="0" w:color="auto"/>
            <w:left w:val="none" w:sz="0" w:space="0" w:color="auto"/>
            <w:bottom w:val="none" w:sz="0" w:space="0" w:color="auto"/>
            <w:right w:val="none" w:sz="0" w:space="0" w:color="auto"/>
          </w:divBdr>
        </w:div>
      </w:divsChild>
    </w:div>
    <w:div w:id="1527593350">
      <w:bodyDiv w:val="1"/>
      <w:marLeft w:val="0"/>
      <w:marRight w:val="0"/>
      <w:marTop w:val="0"/>
      <w:marBottom w:val="0"/>
      <w:divBdr>
        <w:top w:val="none" w:sz="0" w:space="0" w:color="auto"/>
        <w:left w:val="none" w:sz="0" w:space="0" w:color="auto"/>
        <w:bottom w:val="none" w:sz="0" w:space="0" w:color="auto"/>
        <w:right w:val="none" w:sz="0" w:space="0" w:color="auto"/>
      </w:divBdr>
    </w:div>
    <w:div w:id="1540163206">
      <w:bodyDiv w:val="1"/>
      <w:marLeft w:val="0"/>
      <w:marRight w:val="0"/>
      <w:marTop w:val="0"/>
      <w:marBottom w:val="0"/>
      <w:divBdr>
        <w:top w:val="none" w:sz="0" w:space="0" w:color="auto"/>
        <w:left w:val="none" w:sz="0" w:space="0" w:color="auto"/>
        <w:bottom w:val="none" w:sz="0" w:space="0" w:color="auto"/>
        <w:right w:val="none" w:sz="0" w:space="0" w:color="auto"/>
      </w:divBdr>
    </w:div>
    <w:div w:id="1600524399">
      <w:bodyDiv w:val="1"/>
      <w:marLeft w:val="0"/>
      <w:marRight w:val="0"/>
      <w:marTop w:val="0"/>
      <w:marBottom w:val="0"/>
      <w:divBdr>
        <w:top w:val="none" w:sz="0" w:space="0" w:color="auto"/>
        <w:left w:val="none" w:sz="0" w:space="0" w:color="auto"/>
        <w:bottom w:val="none" w:sz="0" w:space="0" w:color="auto"/>
        <w:right w:val="none" w:sz="0" w:space="0" w:color="auto"/>
      </w:divBdr>
    </w:div>
    <w:div w:id="1615556634">
      <w:bodyDiv w:val="1"/>
      <w:marLeft w:val="0"/>
      <w:marRight w:val="0"/>
      <w:marTop w:val="0"/>
      <w:marBottom w:val="0"/>
      <w:divBdr>
        <w:top w:val="none" w:sz="0" w:space="0" w:color="auto"/>
        <w:left w:val="none" w:sz="0" w:space="0" w:color="auto"/>
        <w:bottom w:val="none" w:sz="0" w:space="0" w:color="auto"/>
        <w:right w:val="none" w:sz="0" w:space="0" w:color="auto"/>
      </w:divBdr>
      <w:divsChild>
        <w:div w:id="1907064723">
          <w:marLeft w:val="446"/>
          <w:marRight w:val="0"/>
          <w:marTop w:val="0"/>
          <w:marBottom w:val="0"/>
          <w:divBdr>
            <w:top w:val="none" w:sz="0" w:space="0" w:color="auto"/>
            <w:left w:val="none" w:sz="0" w:space="0" w:color="auto"/>
            <w:bottom w:val="none" w:sz="0" w:space="0" w:color="auto"/>
            <w:right w:val="none" w:sz="0" w:space="0" w:color="auto"/>
          </w:divBdr>
        </w:div>
        <w:div w:id="1047418152">
          <w:marLeft w:val="446"/>
          <w:marRight w:val="0"/>
          <w:marTop w:val="0"/>
          <w:marBottom w:val="0"/>
          <w:divBdr>
            <w:top w:val="none" w:sz="0" w:space="0" w:color="auto"/>
            <w:left w:val="none" w:sz="0" w:space="0" w:color="auto"/>
            <w:bottom w:val="none" w:sz="0" w:space="0" w:color="auto"/>
            <w:right w:val="none" w:sz="0" w:space="0" w:color="auto"/>
          </w:divBdr>
        </w:div>
        <w:div w:id="1824809583">
          <w:marLeft w:val="446"/>
          <w:marRight w:val="0"/>
          <w:marTop w:val="0"/>
          <w:marBottom w:val="0"/>
          <w:divBdr>
            <w:top w:val="none" w:sz="0" w:space="0" w:color="auto"/>
            <w:left w:val="none" w:sz="0" w:space="0" w:color="auto"/>
            <w:bottom w:val="none" w:sz="0" w:space="0" w:color="auto"/>
            <w:right w:val="none" w:sz="0" w:space="0" w:color="auto"/>
          </w:divBdr>
        </w:div>
      </w:divsChild>
    </w:div>
    <w:div w:id="1632517162">
      <w:bodyDiv w:val="1"/>
      <w:marLeft w:val="0"/>
      <w:marRight w:val="0"/>
      <w:marTop w:val="0"/>
      <w:marBottom w:val="0"/>
      <w:divBdr>
        <w:top w:val="none" w:sz="0" w:space="0" w:color="auto"/>
        <w:left w:val="none" w:sz="0" w:space="0" w:color="auto"/>
        <w:bottom w:val="none" w:sz="0" w:space="0" w:color="auto"/>
        <w:right w:val="none" w:sz="0" w:space="0" w:color="auto"/>
      </w:divBdr>
      <w:divsChild>
        <w:div w:id="237835958">
          <w:marLeft w:val="547"/>
          <w:marRight w:val="0"/>
          <w:marTop w:val="0"/>
          <w:marBottom w:val="0"/>
          <w:divBdr>
            <w:top w:val="none" w:sz="0" w:space="0" w:color="auto"/>
            <w:left w:val="none" w:sz="0" w:space="0" w:color="auto"/>
            <w:bottom w:val="none" w:sz="0" w:space="0" w:color="auto"/>
            <w:right w:val="none" w:sz="0" w:space="0" w:color="auto"/>
          </w:divBdr>
        </w:div>
      </w:divsChild>
    </w:div>
    <w:div w:id="1647272081">
      <w:bodyDiv w:val="1"/>
      <w:marLeft w:val="0"/>
      <w:marRight w:val="0"/>
      <w:marTop w:val="0"/>
      <w:marBottom w:val="0"/>
      <w:divBdr>
        <w:top w:val="none" w:sz="0" w:space="0" w:color="auto"/>
        <w:left w:val="none" w:sz="0" w:space="0" w:color="auto"/>
        <w:bottom w:val="none" w:sz="0" w:space="0" w:color="auto"/>
        <w:right w:val="none" w:sz="0" w:space="0" w:color="auto"/>
      </w:divBdr>
    </w:div>
    <w:div w:id="1661154789">
      <w:bodyDiv w:val="1"/>
      <w:marLeft w:val="0"/>
      <w:marRight w:val="0"/>
      <w:marTop w:val="0"/>
      <w:marBottom w:val="0"/>
      <w:divBdr>
        <w:top w:val="none" w:sz="0" w:space="0" w:color="auto"/>
        <w:left w:val="none" w:sz="0" w:space="0" w:color="auto"/>
        <w:bottom w:val="none" w:sz="0" w:space="0" w:color="auto"/>
        <w:right w:val="none" w:sz="0" w:space="0" w:color="auto"/>
      </w:divBdr>
    </w:div>
    <w:div w:id="1666781512">
      <w:bodyDiv w:val="1"/>
      <w:marLeft w:val="0"/>
      <w:marRight w:val="0"/>
      <w:marTop w:val="0"/>
      <w:marBottom w:val="0"/>
      <w:divBdr>
        <w:top w:val="none" w:sz="0" w:space="0" w:color="auto"/>
        <w:left w:val="none" w:sz="0" w:space="0" w:color="auto"/>
        <w:bottom w:val="none" w:sz="0" w:space="0" w:color="auto"/>
        <w:right w:val="none" w:sz="0" w:space="0" w:color="auto"/>
      </w:divBdr>
      <w:divsChild>
        <w:div w:id="805781338">
          <w:marLeft w:val="274"/>
          <w:marRight w:val="0"/>
          <w:marTop w:val="0"/>
          <w:marBottom w:val="0"/>
          <w:divBdr>
            <w:top w:val="none" w:sz="0" w:space="0" w:color="auto"/>
            <w:left w:val="none" w:sz="0" w:space="0" w:color="auto"/>
            <w:bottom w:val="none" w:sz="0" w:space="0" w:color="auto"/>
            <w:right w:val="none" w:sz="0" w:space="0" w:color="auto"/>
          </w:divBdr>
        </w:div>
        <w:div w:id="844786392">
          <w:marLeft w:val="274"/>
          <w:marRight w:val="0"/>
          <w:marTop w:val="0"/>
          <w:marBottom w:val="0"/>
          <w:divBdr>
            <w:top w:val="none" w:sz="0" w:space="0" w:color="auto"/>
            <w:left w:val="none" w:sz="0" w:space="0" w:color="auto"/>
            <w:bottom w:val="none" w:sz="0" w:space="0" w:color="auto"/>
            <w:right w:val="none" w:sz="0" w:space="0" w:color="auto"/>
          </w:divBdr>
        </w:div>
        <w:div w:id="1686979139">
          <w:marLeft w:val="274"/>
          <w:marRight w:val="0"/>
          <w:marTop w:val="0"/>
          <w:marBottom w:val="0"/>
          <w:divBdr>
            <w:top w:val="none" w:sz="0" w:space="0" w:color="auto"/>
            <w:left w:val="none" w:sz="0" w:space="0" w:color="auto"/>
            <w:bottom w:val="none" w:sz="0" w:space="0" w:color="auto"/>
            <w:right w:val="none" w:sz="0" w:space="0" w:color="auto"/>
          </w:divBdr>
        </w:div>
        <w:div w:id="460540974">
          <w:marLeft w:val="274"/>
          <w:marRight w:val="0"/>
          <w:marTop w:val="0"/>
          <w:marBottom w:val="0"/>
          <w:divBdr>
            <w:top w:val="none" w:sz="0" w:space="0" w:color="auto"/>
            <w:left w:val="none" w:sz="0" w:space="0" w:color="auto"/>
            <w:bottom w:val="none" w:sz="0" w:space="0" w:color="auto"/>
            <w:right w:val="none" w:sz="0" w:space="0" w:color="auto"/>
          </w:divBdr>
        </w:div>
        <w:div w:id="111822698">
          <w:marLeft w:val="634"/>
          <w:marRight w:val="0"/>
          <w:marTop w:val="0"/>
          <w:marBottom w:val="0"/>
          <w:divBdr>
            <w:top w:val="none" w:sz="0" w:space="0" w:color="auto"/>
            <w:left w:val="none" w:sz="0" w:space="0" w:color="auto"/>
            <w:bottom w:val="none" w:sz="0" w:space="0" w:color="auto"/>
            <w:right w:val="none" w:sz="0" w:space="0" w:color="auto"/>
          </w:divBdr>
        </w:div>
        <w:div w:id="683289756">
          <w:marLeft w:val="1354"/>
          <w:marRight w:val="0"/>
          <w:marTop w:val="0"/>
          <w:marBottom w:val="0"/>
          <w:divBdr>
            <w:top w:val="none" w:sz="0" w:space="0" w:color="auto"/>
            <w:left w:val="none" w:sz="0" w:space="0" w:color="auto"/>
            <w:bottom w:val="none" w:sz="0" w:space="0" w:color="auto"/>
            <w:right w:val="none" w:sz="0" w:space="0" w:color="auto"/>
          </w:divBdr>
        </w:div>
        <w:div w:id="234780621">
          <w:marLeft w:val="1354"/>
          <w:marRight w:val="0"/>
          <w:marTop w:val="0"/>
          <w:marBottom w:val="0"/>
          <w:divBdr>
            <w:top w:val="none" w:sz="0" w:space="0" w:color="auto"/>
            <w:left w:val="none" w:sz="0" w:space="0" w:color="auto"/>
            <w:bottom w:val="none" w:sz="0" w:space="0" w:color="auto"/>
            <w:right w:val="none" w:sz="0" w:space="0" w:color="auto"/>
          </w:divBdr>
        </w:div>
        <w:div w:id="1809393698">
          <w:marLeft w:val="634"/>
          <w:marRight w:val="0"/>
          <w:marTop w:val="0"/>
          <w:marBottom w:val="0"/>
          <w:divBdr>
            <w:top w:val="none" w:sz="0" w:space="0" w:color="auto"/>
            <w:left w:val="none" w:sz="0" w:space="0" w:color="auto"/>
            <w:bottom w:val="none" w:sz="0" w:space="0" w:color="auto"/>
            <w:right w:val="none" w:sz="0" w:space="0" w:color="auto"/>
          </w:divBdr>
        </w:div>
        <w:div w:id="952054892">
          <w:marLeft w:val="634"/>
          <w:marRight w:val="0"/>
          <w:marTop w:val="0"/>
          <w:marBottom w:val="0"/>
          <w:divBdr>
            <w:top w:val="none" w:sz="0" w:space="0" w:color="auto"/>
            <w:left w:val="none" w:sz="0" w:space="0" w:color="auto"/>
            <w:bottom w:val="none" w:sz="0" w:space="0" w:color="auto"/>
            <w:right w:val="none" w:sz="0" w:space="0" w:color="auto"/>
          </w:divBdr>
        </w:div>
        <w:div w:id="689646597">
          <w:marLeft w:val="274"/>
          <w:marRight w:val="0"/>
          <w:marTop w:val="0"/>
          <w:marBottom w:val="0"/>
          <w:divBdr>
            <w:top w:val="none" w:sz="0" w:space="0" w:color="auto"/>
            <w:left w:val="none" w:sz="0" w:space="0" w:color="auto"/>
            <w:bottom w:val="none" w:sz="0" w:space="0" w:color="auto"/>
            <w:right w:val="none" w:sz="0" w:space="0" w:color="auto"/>
          </w:divBdr>
        </w:div>
        <w:div w:id="1643653409">
          <w:marLeft w:val="274"/>
          <w:marRight w:val="0"/>
          <w:marTop w:val="0"/>
          <w:marBottom w:val="0"/>
          <w:divBdr>
            <w:top w:val="none" w:sz="0" w:space="0" w:color="auto"/>
            <w:left w:val="none" w:sz="0" w:space="0" w:color="auto"/>
            <w:bottom w:val="none" w:sz="0" w:space="0" w:color="auto"/>
            <w:right w:val="none" w:sz="0" w:space="0" w:color="auto"/>
          </w:divBdr>
        </w:div>
        <w:div w:id="2142651440">
          <w:marLeft w:val="720"/>
          <w:marRight w:val="0"/>
          <w:marTop w:val="0"/>
          <w:marBottom w:val="0"/>
          <w:divBdr>
            <w:top w:val="none" w:sz="0" w:space="0" w:color="auto"/>
            <w:left w:val="none" w:sz="0" w:space="0" w:color="auto"/>
            <w:bottom w:val="none" w:sz="0" w:space="0" w:color="auto"/>
            <w:right w:val="none" w:sz="0" w:space="0" w:color="auto"/>
          </w:divBdr>
        </w:div>
        <w:div w:id="1210149797">
          <w:marLeft w:val="720"/>
          <w:marRight w:val="0"/>
          <w:marTop w:val="0"/>
          <w:marBottom w:val="0"/>
          <w:divBdr>
            <w:top w:val="none" w:sz="0" w:space="0" w:color="auto"/>
            <w:left w:val="none" w:sz="0" w:space="0" w:color="auto"/>
            <w:bottom w:val="none" w:sz="0" w:space="0" w:color="auto"/>
            <w:right w:val="none" w:sz="0" w:space="0" w:color="auto"/>
          </w:divBdr>
        </w:div>
        <w:div w:id="2079859511">
          <w:marLeft w:val="720"/>
          <w:marRight w:val="0"/>
          <w:marTop w:val="0"/>
          <w:marBottom w:val="0"/>
          <w:divBdr>
            <w:top w:val="none" w:sz="0" w:space="0" w:color="auto"/>
            <w:left w:val="none" w:sz="0" w:space="0" w:color="auto"/>
            <w:bottom w:val="none" w:sz="0" w:space="0" w:color="auto"/>
            <w:right w:val="none" w:sz="0" w:space="0" w:color="auto"/>
          </w:divBdr>
        </w:div>
        <w:div w:id="256525659">
          <w:marLeft w:val="274"/>
          <w:marRight w:val="0"/>
          <w:marTop w:val="0"/>
          <w:marBottom w:val="0"/>
          <w:divBdr>
            <w:top w:val="none" w:sz="0" w:space="0" w:color="auto"/>
            <w:left w:val="none" w:sz="0" w:space="0" w:color="auto"/>
            <w:bottom w:val="none" w:sz="0" w:space="0" w:color="auto"/>
            <w:right w:val="none" w:sz="0" w:space="0" w:color="auto"/>
          </w:divBdr>
        </w:div>
      </w:divsChild>
    </w:div>
    <w:div w:id="1676759745">
      <w:bodyDiv w:val="1"/>
      <w:marLeft w:val="0"/>
      <w:marRight w:val="0"/>
      <w:marTop w:val="0"/>
      <w:marBottom w:val="0"/>
      <w:divBdr>
        <w:top w:val="none" w:sz="0" w:space="0" w:color="auto"/>
        <w:left w:val="none" w:sz="0" w:space="0" w:color="auto"/>
        <w:bottom w:val="none" w:sz="0" w:space="0" w:color="auto"/>
        <w:right w:val="none" w:sz="0" w:space="0" w:color="auto"/>
      </w:divBdr>
    </w:div>
    <w:div w:id="1689409598">
      <w:bodyDiv w:val="1"/>
      <w:marLeft w:val="0"/>
      <w:marRight w:val="0"/>
      <w:marTop w:val="0"/>
      <w:marBottom w:val="0"/>
      <w:divBdr>
        <w:top w:val="none" w:sz="0" w:space="0" w:color="auto"/>
        <w:left w:val="none" w:sz="0" w:space="0" w:color="auto"/>
        <w:bottom w:val="none" w:sz="0" w:space="0" w:color="auto"/>
        <w:right w:val="none" w:sz="0" w:space="0" w:color="auto"/>
      </w:divBdr>
      <w:divsChild>
        <w:div w:id="1186939314">
          <w:marLeft w:val="1166"/>
          <w:marRight w:val="0"/>
          <w:marTop w:val="0"/>
          <w:marBottom w:val="0"/>
          <w:divBdr>
            <w:top w:val="none" w:sz="0" w:space="0" w:color="auto"/>
            <w:left w:val="none" w:sz="0" w:space="0" w:color="auto"/>
            <w:bottom w:val="none" w:sz="0" w:space="0" w:color="auto"/>
            <w:right w:val="none" w:sz="0" w:space="0" w:color="auto"/>
          </w:divBdr>
        </w:div>
        <w:div w:id="1245992272">
          <w:marLeft w:val="547"/>
          <w:marRight w:val="0"/>
          <w:marTop w:val="0"/>
          <w:marBottom w:val="0"/>
          <w:divBdr>
            <w:top w:val="none" w:sz="0" w:space="0" w:color="auto"/>
            <w:left w:val="none" w:sz="0" w:space="0" w:color="auto"/>
            <w:bottom w:val="none" w:sz="0" w:space="0" w:color="auto"/>
            <w:right w:val="none" w:sz="0" w:space="0" w:color="auto"/>
          </w:divBdr>
        </w:div>
      </w:divsChild>
    </w:div>
    <w:div w:id="1689789462">
      <w:bodyDiv w:val="1"/>
      <w:marLeft w:val="0"/>
      <w:marRight w:val="0"/>
      <w:marTop w:val="0"/>
      <w:marBottom w:val="0"/>
      <w:divBdr>
        <w:top w:val="none" w:sz="0" w:space="0" w:color="auto"/>
        <w:left w:val="none" w:sz="0" w:space="0" w:color="auto"/>
        <w:bottom w:val="none" w:sz="0" w:space="0" w:color="auto"/>
        <w:right w:val="none" w:sz="0" w:space="0" w:color="auto"/>
      </w:divBdr>
      <w:divsChild>
        <w:div w:id="256139820">
          <w:marLeft w:val="3240"/>
          <w:marRight w:val="0"/>
          <w:marTop w:val="0"/>
          <w:marBottom w:val="0"/>
          <w:divBdr>
            <w:top w:val="none" w:sz="0" w:space="0" w:color="auto"/>
            <w:left w:val="none" w:sz="0" w:space="0" w:color="auto"/>
            <w:bottom w:val="none" w:sz="0" w:space="0" w:color="auto"/>
            <w:right w:val="none" w:sz="0" w:space="0" w:color="auto"/>
          </w:divBdr>
        </w:div>
        <w:div w:id="274602193">
          <w:marLeft w:val="1800"/>
          <w:marRight w:val="0"/>
          <w:marTop w:val="0"/>
          <w:marBottom w:val="0"/>
          <w:divBdr>
            <w:top w:val="none" w:sz="0" w:space="0" w:color="auto"/>
            <w:left w:val="none" w:sz="0" w:space="0" w:color="auto"/>
            <w:bottom w:val="none" w:sz="0" w:space="0" w:color="auto"/>
            <w:right w:val="none" w:sz="0" w:space="0" w:color="auto"/>
          </w:divBdr>
        </w:div>
        <w:div w:id="291450278">
          <w:marLeft w:val="1800"/>
          <w:marRight w:val="0"/>
          <w:marTop w:val="0"/>
          <w:marBottom w:val="0"/>
          <w:divBdr>
            <w:top w:val="none" w:sz="0" w:space="0" w:color="auto"/>
            <w:left w:val="none" w:sz="0" w:space="0" w:color="auto"/>
            <w:bottom w:val="none" w:sz="0" w:space="0" w:color="auto"/>
            <w:right w:val="none" w:sz="0" w:space="0" w:color="auto"/>
          </w:divBdr>
        </w:div>
        <w:div w:id="489949924">
          <w:marLeft w:val="547"/>
          <w:marRight w:val="0"/>
          <w:marTop w:val="0"/>
          <w:marBottom w:val="0"/>
          <w:divBdr>
            <w:top w:val="none" w:sz="0" w:space="0" w:color="auto"/>
            <w:left w:val="none" w:sz="0" w:space="0" w:color="auto"/>
            <w:bottom w:val="none" w:sz="0" w:space="0" w:color="auto"/>
            <w:right w:val="none" w:sz="0" w:space="0" w:color="auto"/>
          </w:divBdr>
        </w:div>
        <w:div w:id="624196866">
          <w:marLeft w:val="1800"/>
          <w:marRight w:val="0"/>
          <w:marTop w:val="0"/>
          <w:marBottom w:val="0"/>
          <w:divBdr>
            <w:top w:val="none" w:sz="0" w:space="0" w:color="auto"/>
            <w:left w:val="none" w:sz="0" w:space="0" w:color="auto"/>
            <w:bottom w:val="none" w:sz="0" w:space="0" w:color="auto"/>
            <w:right w:val="none" w:sz="0" w:space="0" w:color="auto"/>
          </w:divBdr>
        </w:div>
        <w:div w:id="726220673">
          <w:marLeft w:val="2520"/>
          <w:marRight w:val="0"/>
          <w:marTop w:val="0"/>
          <w:marBottom w:val="0"/>
          <w:divBdr>
            <w:top w:val="none" w:sz="0" w:space="0" w:color="auto"/>
            <w:left w:val="none" w:sz="0" w:space="0" w:color="auto"/>
            <w:bottom w:val="none" w:sz="0" w:space="0" w:color="auto"/>
            <w:right w:val="none" w:sz="0" w:space="0" w:color="auto"/>
          </w:divBdr>
        </w:div>
        <w:div w:id="765619922">
          <w:marLeft w:val="3240"/>
          <w:marRight w:val="0"/>
          <w:marTop w:val="0"/>
          <w:marBottom w:val="0"/>
          <w:divBdr>
            <w:top w:val="none" w:sz="0" w:space="0" w:color="auto"/>
            <w:left w:val="none" w:sz="0" w:space="0" w:color="auto"/>
            <w:bottom w:val="none" w:sz="0" w:space="0" w:color="auto"/>
            <w:right w:val="none" w:sz="0" w:space="0" w:color="auto"/>
          </w:divBdr>
        </w:div>
        <w:div w:id="778988639">
          <w:marLeft w:val="1800"/>
          <w:marRight w:val="0"/>
          <w:marTop w:val="0"/>
          <w:marBottom w:val="0"/>
          <w:divBdr>
            <w:top w:val="none" w:sz="0" w:space="0" w:color="auto"/>
            <w:left w:val="none" w:sz="0" w:space="0" w:color="auto"/>
            <w:bottom w:val="none" w:sz="0" w:space="0" w:color="auto"/>
            <w:right w:val="none" w:sz="0" w:space="0" w:color="auto"/>
          </w:divBdr>
        </w:div>
        <w:div w:id="914362034">
          <w:marLeft w:val="3240"/>
          <w:marRight w:val="0"/>
          <w:marTop w:val="0"/>
          <w:marBottom w:val="0"/>
          <w:divBdr>
            <w:top w:val="none" w:sz="0" w:space="0" w:color="auto"/>
            <w:left w:val="none" w:sz="0" w:space="0" w:color="auto"/>
            <w:bottom w:val="none" w:sz="0" w:space="0" w:color="auto"/>
            <w:right w:val="none" w:sz="0" w:space="0" w:color="auto"/>
          </w:divBdr>
        </w:div>
        <w:div w:id="946545581">
          <w:marLeft w:val="2520"/>
          <w:marRight w:val="0"/>
          <w:marTop w:val="0"/>
          <w:marBottom w:val="0"/>
          <w:divBdr>
            <w:top w:val="none" w:sz="0" w:space="0" w:color="auto"/>
            <w:left w:val="none" w:sz="0" w:space="0" w:color="auto"/>
            <w:bottom w:val="none" w:sz="0" w:space="0" w:color="auto"/>
            <w:right w:val="none" w:sz="0" w:space="0" w:color="auto"/>
          </w:divBdr>
        </w:div>
        <w:div w:id="998658533">
          <w:marLeft w:val="3240"/>
          <w:marRight w:val="0"/>
          <w:marTop w:val="0"/>
          <w:marBottom w:val="0"/>
          <w:divBdr>
            <w:top w:val="none" w:sz="0" w:space="0" w:color="auto"/>
            <w:left w:val="none" w:sz="0" w:space="0" w:color="auto"/>
            <w:bottom w:val="none" w:sz="0" w:space="0" w:color="auto"/>
            <w:right w:val="none" w:sz="0" w:space="0" w:color="auto"/>
          </w:divBdr>
        </w:div>
        <w:div w:id="1140920285">
          <w:marLeft w:val="2520"/>
          <w:marRight w:val="0"/>
          <w:marTop w:val="0"/>
          <w:marBottom w:val="0"/>
          <w:divBdr>
            <w:top w:val="none" w:sz="0" w:space="0" w:color="auto"/>
            <w:left w:val="none" w:sz="0" w:space="0" w:color="auto"/>
            <w:bottom w:val="none" w:sz="0" w:space="0" w:color="auto"/>
            <w:right w:val="none" w:sz="0" w:space="0" w:color="auto"/>
          </w:divBdr>
        </w:div>
        <w:div w:id="1253277104">
          <w:marLeft w:val="1166"/>
          <w:marRight w:val="0"/>
          <w:marTop w:val="0"/>
          <w:marBottom w:val="0"/>
          <w:divBdr>
            <w:top w:val="none" w:sz="0" w:space="0" w:color="auto"/>
            <w:left w:val="none" w:sz="0" w:space="0" w:color="auto"/>
            <w:bottom w:val="none" w:sz="0" w:space="0" w:color="auto"/>
            <w:right w:val="none" w:sz="0" w:space="0" w:color="auto"/>
          </w:divBdr>
        </w:div>
        <w:div w:id="1290209298">
          <w:marLeft w:val="1166"/>
          <w:marRight w:val="0"/>
          <w:marTop w:val="0"/>
          <w:marBottom w:val="0"/>
          <w:divBdr>
            <w:top w:val="none" w:sz="0" w:space="0" w:color="auto"/>
            <w:left w:val="none" w:sz="0" w:space="0" w:color="auto"/>
            <w:bottom w:val="none" w:sz="0" w:space="0" w:color="auto"/>
            <w:right w:val="none" w:sz="0" w:space="0" w:color="auto"/>
          </w:divBdr>
        </w:div>
        <w:div w:id="1901359121">
          <w:marLeft w:val="2520"/>
          <w:marRight w:val="0"/>
          <w:marTop w:val="0"/>
          <w:marBottom w:val="0"/>
          <w:divBdr>
            <w:top w:val="none" w:sz="0" w:space="0" w:color="auto"/>
            <w:left w:val="none" w:sz="0" w:space="0" w:color="auto"/>
            <w:bottom w:val="none" w:sz="0" w:space="0" w:color="auto"/>
            <w:right w:val="none" w:sz="0" w:space="0" w:color="auto"/>
          </w:divBdr>
        </w:div>
        <w:div w:id="1983273525">
          <w:marLeft w:val="3240"/>
          <w:marRight w:val="0"/>
          <w:marTop w:val="0"/>
          <w:marBottom w:val="0"/>
          <w:divBdr>
            <w:top w:val="none" w:sz="0" w:space="0" w:color="auto"/>
            <w:left w:val="none" w:sz="0" w:space="0" w:color="auto"/>
            <w:bottom w:val="none" w:sz="0" w:space="0" w:color="auto"/>
            <w:right w:val="none" w:sz="0" w:space="0" w:color="auto"/>
          </w:divBdr>
        </w:div>
        <w:div w:id="2051757576">
          <w:marLeft w:val="1800"/>
          <w:marRight w:val="0"/>
          <w:marTop w:val="0"/>
          <w:marBottom w:val="0"/>
          <w:divBdr>
            <w:top w:val="none" w:sz="0" w:space="0" w:color="auto"/>
            <w:left w:val="none" w:sz="0" w:space="0" w:color="auto"/>
            <w:bottom w:val="none" w:sz="0" w:space="0" w:color="auto"/>
            <w:right w:val="none" w:sz="0" w:space="0" w:color="auto"/>
          </w:divBdr>
        </w:div>
      </w:divsChild>
    </w:div>
    <w:div w:id="1728138476">
      <w:bodyDiv w:val="1"/>
      <w:marLeft w:val="0"/>
      <w:marRight w:val="0"/>
      <w:marTop w:val="0"/>
      <w:marBottom w:val="0"/>
      <w:divBdr>
        <w:top w:val="none" w:sz="0" w:space="0" w:color="auto"/>
        <w:left w:val="none" w:sz="0" w:space="0" w:color="auto"/>
        <w:bottom w:val="none" w:sz="0" w:space="0" w:color="auto"/>
        <w:right w:val="none" w:sz="0" w:space="0" w:color="auto"/>
      </w:divBdr>
      <w:divsChild>
        <w:div w:id="1978994818">
          <w:marLeft w:val="547"/>
          <w:marRight w:val="0"/>
          <w:marTop w:val="0"/>
          <w:marBottom w:val="0"/>
          <w:divBdr>
            <w:top w:val="none" w:sz="0" w:space="0" w:color="auto"/>
            <w:left w:val="none" w:sz="0" w:space="0" w:color="auto"/>
            <w:bottom w:val="none" w:sz="0" w:space="0" w:color="auto"/>
            <w:right w:val="none" w:sz="0" w:space="0" w:color="auto"/>
          </w:divBdr>
        </w:div>
      </w:divsChild>
    </w:div>
    <w:div w:id="1741753007">
      <w:bodyDiv w:val="1"/>
      <w:marLeft w:val="0"/>
      <w:marRight w:val="0"/>
      <w:marTop w:val="0"/>
      <w:marBottom w:val="0"/>
      <w:divBdr>
        <w:top w:val="none" w:sz="0" w:space="0" w:color="auto"/>
        <w:left w:val="none" w:sz="0" w:space="0" w:color="auto"/>
        <w:bottom w:val="none" w:sz="0" w:space="0" w:color="auto"/>
        <w:right w:val="none" w:sz="0" w:space="0" w:color="auto"/>
      </w:divBdr>
    </w:div>
    <w:div w:id="1770003245">
      <w:bodyDiv w:val="1"/>
      <w:marLeft w:val="0"/>
      <w:marRight w:val="0"/>
      <w:marTop w:val="0"/>
      <w:marBottom w:val="0"/>
      <w:divBdr>
        <w:top w:val="none" w:sz="0" w:space="0" w:color="auto"/>
        <w:left w:val="none" w:sz="0" w:space="0" w:color="auto"/>
        <w:bottom w:val="none" w:sz="0" w:space="0" w:color="auto"/>
        <w:right w:val="none" w:sz="0" w:space="0" w:color="auto"/>
      </w:divBdr>
    </w:div>
    <w:div w:id="1775007002">
      <w:bodyDiv w:val="1"/>
      <w:marLeft w:val="0"/>
      <w:marRight w:val="0"/>
      <w:marTop w:val="0"/>
      <w:marBottom w:val="0"/>
      <w:divBdr>
        <w:top w:val="none" w:sz="0" w:space="0" w:color="auto"/>
        <w:left w:val="none" w:sz="0" w:space="0" w:color="auto"/>
        <w:bottom w:val="none" w:sz="0" w:space="0" w:color="auto"/>
        <w:right w:val="none" w:sz="0" w:space="0" w:color="auto"/>
      </w:divBdr>
    </w:div>
    <w:div w:id="1777097259">
      <w:bodyDiv w:val="1"/>
      <w:marLeft w:val="0"/>
      <w:marRight w:val="0"/>
      <w:marTop w:val="0"/>
      <w:marBottom w:val="0"/>
      <w:divBdr>
        <w:top w:val="none" w:sz="0" w:space="0" w:color="auto"/>
        <w:left w:val="none" w:sz="0" w:space="0" w:color="auto"/>
        <w:bottom w:val="none" w:sz="0" w:space="0" w:color="auto"/>
        <w:right w:val="none" w:sz="0" w:space="0" w:color="auto"/>
      </w:divBdr>
    </w:div>
    <w:div w:id="1783185212">
      <w:bodyDiv w:val="1"/>
      <w:marLeft w:val="0"/>
      <w:marRight w:val="0"/>
      <w:marTop w:val="0"/>
      <w:marBottom w:val="0"/>
      <w:divBdr>
        <w:top w:val="none" w:sz="0" w:space="0" w:color="auto"/>
        <w:left w:val="none" w:sz="0" w:space="0" w:color="auto"/>
        <w:bottom w:val="none" w:sz="0" w:space="0" w:color="auto"/>
        <w:right w:val="none" w:sz="0" w:space="0" w:color="auto"/>
      </w:divBdr>
      <w:divsChild>
        <w:div w:id="1075320943">
          <w:marLeft w:val="1166"/>
          <w:marRight w:val="0"/>
          <w:marTop w:val="77"/>
          <w:marBottom w:val="0"/>
          <w:divBdr>
            <w:top w:val="none" w:sz="0" w:space="0" w:color="auto"/>
            <w:left w:val="none" w:sz="0" w:space="0" w:color="auto"/>
            <w:bottom w:val="none" w:sz="0" w:space="0" w:color="auto"/>
            <w:right w:val="none" w:sz="0" w:space="0" w:color="auto"/>
          </w:divBdr>
        </w:div>
      </w:divsChild>
    </w:div>
    <w:div w:id="1812864123">
      <w:bodyDiv w:val="1"/>
      <w:marLeft w:val="0"/>
      <w:marRight w:val="0"/>
      <w:marTop w:val="0"/>
      <w:marBottom w:val="0"/>
      <w:divBdr>
        <w:top w:val="none" w:sz="0" w:space="0" w:color="auto"/>
        <w:left w:val="none" w:sz="0" w:space="0" w:color="auto"/>
        <w:bottom w:val="none" w:sz="0" w:space="0" w:color="auto"/>
        <w:right w:val="none" w:sz="0" w:space="0" w:color="auto"/>
      </w:divBdr>
    </w:div>
    <w:div w:id="1821723860">
      <w:bodyDiv w:val="1"/>
      <w:marLeft w:val="0"/>
      <w:marRight w:val="0"/>
      <w:marTop w:val="0"/>
      <w:marBottom w:val="0"/>
      <w:divBdr>
        <w:top w:val="none" w:sz="0" w:space="0" w:color="auto"/>
        <w:left w:val="none" w:sz="0" w:space="0" w:color="auto"/>
        <w:bottom w:val="none" w:sz="0" w:space="0" w:color="auto"/>
        <w:right w:val="none" w:sz="0" w:space="0" w:color="auto"/>
      </w:divBdr>
    </w:div>
    <w:div w:id="1822893101">
      <w:bodyDiv w:val="1"/>
      <w:marLeft w:val="0"/>
      <w:marRight w:val="0"/>
      <w:marTop w:val="0"/>
      <w:marBottom w:val="0"/>
      <w:divBdr>
        <w:top w:val="none" w:sz="0" w:space="0" w:color="auto"/>
        <w:left w:val="none" w:sz="0" w:space="0" w:color="auto"/>
        <w:bottom w:val="none" w:sz="0" w:space="0" w:color="auto"/>
        <w:right w:val="none" w:sz="0" w:space="0" w:color="auto"/>
      </w:divBdr>
      <w:divsChild>
        <w:div w:id="1340087184">
          <w:marLeft w:val="547"/>
          <w:marRight w:val="0"/>
          <w:marTop w:val="91"/>
          <w:marBottom w:val="0"/>
          <w:divBdr>
            <w:top w:val="none" w:sz="0" w:space="0" w:color="auto"/>
            <w:left w:val="none" w:sz="0" w:space="0" w:color="auto"/>
            <w:bottom w:val="none" w:sz="0" w:space="0" w:color="auto"/>
            <w:right w:val="none" w:sz="0" w:space="0" w:color="auto"/>
          </w:divBdr>
        </w:div>
      </w:divsChild>
    </w:div>
    <w:div w:id="1834224630">
      <w:bodyDiv w:val="1"/>
      <w:marLeft w:val="0"/>
      <w:marRight w:val="0"/>
      <w:marTop w:val="0"/>
      <w:marBottom w:val="0"/>
      <w:divBdr>
        <w:top w:val="none" w:sz="0" w:space="0" w:color="auto"/>
        <w:left w:val="none" w:sz="0" w:space="0" w:color="auto"/>
        <w:bottom w:val="none" w:sz="0" w:space="0" w:color="auto"/>
        <w:right w:val="none" w:sz="0" w:space="0" w:color="auto"/>
      </w:divBdr>
    </w:div>
    <w:div w:id="1875655129">
      <w:bodyDiv w:val="1"/>
      <w:marLeft w:val="0"/>
      <w:marRight w:val="0"/>
      <w:marTop w:val="0"/>
      <w:marBottom w:val="0"/>
      <w:divBdr>
        <w:top w:val="none" w:sz="0" w:space="0" w:color="auto"/>
        <w:left w:val="none" w:sz="0" w:space="0" w:color="auto"/>
        <w:bottom w:val="none" w:sz="0" w:space="0" w:color="auto"/>
        <w:right w:val="none" w:sz="0" w:space="0" w:color="auto"/>
      </w:divBdr>
      <w:divsChild>
        <w:div w:id="1575159885">
          <w:marLeft w:val="547"/>
          <w:marRight w:val="0"/>
          <w:marTop w:val="0"/>
          <w:marBottom w:val="0"/>
          <w:divBdr>
            <w:top w:val="none" w:sz="0" w:space="0" w:color="auto"/>
            <w:left w:val="none" w:sz="0" w:space="0" w:color="auto"/>
            <w:bottom w:val="none" w:sz="0" w:space="0" w:color="auto"/>
            <w:right w:val="none" w:sz="0" w:space="0" w:color="auto"/>
          </w:divBdr>
        </w:div>
      </w:divsChild>
    </w:div>
    <w:div w:id="1884899529">
      <w:bodyDiv w:val="1"/>
      <w:marLeft w:val="0"/>
      <w:marRight w:val="0"/>
      <w:marTop w:val="0"/>
      <w:marBottom w:val="0"/>
      <w:divBdr>
        <w:top w:val="none" w:sz="0" w:space="0" w:color="auto"/>
        <w:left w:val="none" w:sz="0" w:space="0" w:color="auto"/>
        <w:bottom w:val="none" w:sz="0" w:space="0" w:color="auto"/>
        <w:right w:val="none" w:sz="0" w:space="0" w:color="auto"/>
      </w:divBdr>
    </w:div>
    <w:div w:id="1947275766">
      <w:bodyDiv w:val="1"/>
      <w:marLeft w:val="0"/>
      <w:marRight w:val="0"/>
      <w:marTop w:val="0"/>
      <w:marBottom w:val="0"/>
      <w:divBdr>
        <w:top w:val="none" w:sz="0" w:space="0" w:color="auto"/>
        <w:left w:val="none" w:sz="0" w:space="0" w:color="auto"/>
        <w:bottom w:val="none" w:sz="0" w:space="0" w:color="auto"/>
        <w:right w:val="none" w:sz="0" w:space="0" w:color="auto"/>
      </w:divBdr>
    </w:div>
    <w:div w:id="1955945335">
      <w:bodyDiv w:val="1"/>
      <w:marLeft w:val="0"/>
      <w:marRight w:val="0"/>
      <w:marTop w:val="0"/>
      <w:marBottom w:val="0"/>
      <w:divBdr>
        <w:top w:val="none" w:sz="0" w:space="0" w:color="auto"/>
        <w:left w:val="none" w:sz="0" w:space="0" w:color="auto"/>
        <w:bottom w:val="none" w:sz="0" w:space="0" w:color="auto"/>
        <w:right w:val="none" w:sz="0" w:space="0" w:color="auto"/>
      </w:divBdr>
    </w:div>
    <w:div w:id="1959796407">
      <w:bodyDiv w:val="1"/>
      <w:marLeft w:val="0"/>
      <w:marRight w:val="0"/>
      <w:marTop w:val="0"/>
      <w:marBottom w:val="0"/>
      <w:divBdr>
        <w:top w:val="none" w:sz="0" w:space="0" w:color="auto"/>
        <w:left w:val="none" w:sz="0" w:space="0" w:color="auto"/>
        <w:bottom w:val="none" w:sz="0" w:space="0" w:color="auto"/>
        <w:right w:val="none" w:sz="0" w:space="0" w:color="auto"/>
      </w:divBdr>
      <w:divsChild>
        <w:div w:id="1658613911">
          <w:marLeft w:val="547"/>
          <w:marRight w:val="0"/>
          <w:marTop w:val="0"/>
          <w:marBottom w:val="0"/>
          <w:divBdr>
            <w:top w:val="none" w:sz="0" w:space="0" w:color="auto"/>
            <w:left w:val="none" w:sz="0" w:space="0" w:color="auto"/>
            <w:bottom w:val="none" w:sz="0" w:space="0" w:color="auto"/>
            <w:right w:val="none" w:sz="0" w:space="0" w:color="auto"/>
          </w:divBdr>
        </w:div>
      </w:divsChild>
    </w:div>
    <w:div w:id="1989937357">
      <w:bodyDiv w:val="1"/>
      <w:marLeft w:val="0"/>
      <w:marRight w:val="0"/>
      <w:marTop w:val="0"/>
      <w:marBottom w:val="0"/>
      <w:divBdr>
        <w:top w:val="none" w:sz="0" w:space="0" w:color="auto"/>
        <w:left w:val="none" w:sz="0" w:space="0" w:color="auto"/>
        <w:bottom w:val="none" w:sz="0" w:space="0" w:color="auto"/>
        <w:right w:val="none" w:sz="0" w:space="0" w:color="auto"/>
      </w:divBdr>
    </w:div>
    <w:div w:id="199263300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400361">
      <w:bodyDiv w:val="1"/>
      <w:marLeft w:val="0"/>
      <w:marRight w:val="0"/>
      <w:marTop w:val="0"/>
      <w:marBottom w:val="0"/>
      <w:divBdr>
        <w:top w:val="none" w:sz="0" w:space="0" w:color="auto"/>
        <w:left w:val="none" w:sz="0" w:space="0" w:color="auto"/>
        <w:bottom w:val="none" w:sz="0" w:space="0" w:color="auto"/>
        <w:right w:val="none" w:sz="0" w:space="0" w:color="auto"/>
      </w:divBdr>
    </w:div>
    <w:div w:id="2050108792">
      <w:bodyDiv w:val="1"/>
      <w:marLeft w:val="0"/>
      <w:marRight w:val="0"/>
      <w:marTop w:val="0"/>
      <w:marBottom w:val="0"/>
      <w:divBdr>
        <w:top w:val="none" w:sz="0" w:space="0" w:color="auto"/>
        <w:left w:val="none" w:sz="0" w:space="0" w:color="auto"/>
        <w:bottom w:val="none" w:sz="0" w:space="0" w:color="auto"/>
        <w:right w:val="none" w:sz="0" w:space="0" w:color="auto"/>
      </w:divBdr>
    </w:div>
    <w:div w:id="2082099058">
      <w:bodyDiv w:val="1"/>
      <w:marLeft w:val="0"/>
      <w:marRight w:val="0"/>
      <w:marTop w:val="0"/>
      <w:marBottom w:val="0"/>
      <w:divBdr>
        <w:top w:val="none" w:sz="0" w:space="0" w:color="auto"/>
        <w:left w:val="none" w:sz="0" w:space="0" w:color="auto"/>
        <w:bottom w:val="none" w:sz="0" w:space="0" w:color="auto"/>
        <w:right w:val="none" w:sz="0" w:space="0" w:color="auto"/>
      </w:divBdr>
    </w:div>
    <w:div w:id="2087339773">
      <w:bodyDiv w:val="1"/>
      <w:marLeft w:val="0"/>
      <w:marRight w:val="0"/>
      <w:marTop w:val="0"/>
      <w:marBottom w:val="0"/>
      <w:divBdr>
        <w:top w:val="none" w:sz="0" w:space="0" w:color="auto"/>
        <w:left w:val="none" w:sz="0" w:space="0" w:color="auto"/>
        <w:bottom w:val="none" w:sz="0" w:space="0" w:color="auto"/>
        <w:right w:val="none" w:sz="0" w:space="0" w:color="auto"/>
      </w:divBdr>
      <w:divsChild>
        <w:div w:id="1387947051">
          <w:marLeft w:val="504"/>
          <w:marRight w:val="0"/>
          <w:marTop w:val="0"/>
          <w:marBottom w:val="0"/>
          <w:divBdr>
            <w:top w:val="none" w:sz="0" w:space="0" w:color="auto"/>
            <w:left w:val="none" w:sz="0" w:space="0" w:color="auto"/>
            <w:bottom w:val="none" w:sz="0" w:space="0" w:color="auto"/>
            <w:right w:val="none" w:sz="0" w:space="0" w:color="auto"/>
          </w:divBdr>
        </w:div>
      </w:divsChild>
    </w:div>
    <w:div w:id="2091465909">
      <w:bodyDiv w:val="1"/>
      <w:marLeft w:val="0"/>
      <w:marRight w:val="0"/>
      <w:marTop w:val="0"/>
      <w:marBottom w:val="0"/>
      <w:divBdr>
        <w:top w:val="none" w:sz="0" w:space="0" w:color="auto"/>
        <w:left w:val="none" w:sz="0" w:space="0" w:color="auto"/>
        <w:bottom w:val="none" w:sz="0" w:space="0" w:color="auto"/>
        <w:right w:val="none" w:sz="0" w:space="0" w:color="auto"/>
      </w:divBdr>
      <w:divsChild>
        <w:div w:id="330838880">
          <w:marLeft w:val="1166"/>
          <w:marRight w:val="0"/>
          <w:marTop w:val="62"/>
          <w:marBottom w:val="0"/>
          <w:divBdr>
            <w:top w:val="none" w:sz="0" w:space="0" w:color="auto"/>
            <w:left w:val="none" w:sz="0" w:space="0" w:color="auto"/>
            <w:bottom w:val="none" w:sz="0" w:space="0" w:color="auto"/>
            <w:right w:val="none" w:sz="0" w:space="0" w:color="auto"/>
          </w:divBdr>
        </w:div>
        <w:div w:id="622075878">
          <w:marLeft w:val="1800"/>
          <w:marRight w:val="0"/>
          <w:marTop w:val="53"/>
          <w:marBottom w:val="0"/>
          <w:divBdr>
            <w:top w:val="none" w:sz="0" w:space="0" w:color="auto"/>
            <w:left w:val="none" w:sz="0" w:space="0" w:color="auto"/>
            <w:bottom w:val="none" w:sz="0" w:space="0" w:color="auto"/>
            <w:right w:val="none" w:sz="0" w:space="0" w:color="auto"/>
          </w:divBdr>
        </w:div>
        <w:div w:id="649672397">
          <w:marLeft w:val="1800"/>
          <w:marRight w:val="0"/>
          <w:marTop w:val="53"/>
          <w:marBottom w:val="180"/>
          <w:divBdr>
            <w:top w:val="none" w:sz="0" w:space="0" w:color="auto"/>
            <w:left w:val="none" w:sz="0" w:space="0" w:color="auto"/>
            <w:bottom w:val="none" w:sz="0" w:space="0" w:color="auto"/>
            <w:right w:val="none" w:sz="0" w:space="0" w:color="auto"/>
          </w:divBdr>
        </w:div>
        <w:div w:id="1078673070">
          <w:marLeft w:val="1800"/>
          <w:marRight w:val="0"/>
          <w:marTop w:val="53"/>
          <w:marBottom w:val="0"/>
          <w:divBdr>
            <w:top w:val="none" w:sz="0" w:space="0" w:color="auto"/>
            <w:left w:val="none" w:sz="0" w:space="0" w:color="auto"/>
            <w:bottom w:val="none" w:sz="0" w:space="0" w:color="auto"/>
            <w:right w:val="none" w:sz="0" w:space="0" w:color="auto"/>
          </w:divBdr>
        </w:div>
        <w:div w:id="1572739355">
          <w:marLeft w:val="1166"/>
          <w:marRight w:val="0"/>
          <w:marTop w:val="62"/>
          <w:marBottom w:val="0"/>
          <w:divBdr>
            <w:top w:val="none" w:sz="0" w:space="0" w:color="auto"/>
            <w:left w:val="none" w:sz="0" w:space="0" w:color="auto"/>
            <w:bottom w:val="none" w:sz="0" w:space="0" w:color="auto"/>
            <w:right w:val="none" w:sz="0" w:space="0" w:color="auto"/>
          </w:divBdr>
        </w:div>
        <w:div w:id="1597253678">
          <w:marLeft w:val="1800"/>
          <w:marRight w:val="0"/>
          <w:marTop w:val="53"/>
          <w:marBottom w:val="0"/>
          <w:divBdr>
            <w:top w:val="none" w:sz="0" w:space="0" w:color="auto"/>
            <w:left w:val="none" w:sz="0" w:space="0" w:color="auto"/>
            <w:bottom w:val="none" w:sz="0" w:space="0" w:color="auto"/>
            <w:right w:val="none" w:sz="0" w:space="0" w:color="auto"/>
          </w:divBdr>
        </w:div>
        <w:div w:id="1866821790">
          <w:marLeft w:val="1800"/>
          <w:marRight w:val="0"/>
          <w:marTop w:val="53"/>
          <w:marBottom w:val="0"/>
          <w:divBdr>
            <w:top w:val="none" w:sz="0" w:space="0" w:color="auto"/>
            <w:left w:val="none" w:sz="0" w:space="0" w:color="auto"/>
            <w:bottom w:val="none" w:sz="0" w:space="0" w:color="auto"/>
            <w:right w:val="none" w:sz="0" w:space="0" w:color="auto"/>
          </w:divBdr>
        </w:div>
      </w:divsChild>
    </w:div>
    <w:div w:id="2135713029">
      <w:bodyDiv w:val="1"/>
      <w:marLeft w:val="0"/>
      <w:marRight w:val="0"/>
      <w:marTop w:val="0"/>
      <w:marBottom w:val="0"/>
      <w:divBdr>
        <w:top w:val="none" w:sz="0" w:space="0" w:color="auto"/>
        <w:left w:val="none" w:sz="0" w:space="0" w:color="auto"/>
        <w:bottom w:val="none" w:sz="0" w:space="0" w:color="auto"/>
        <w:right w:val="none" w:sz="0" w:space="0" w:color="auto"/>
      </w:divBdr>
      <w:divsChild>
        <w:div w:id="293605937">
          <w:marLeft w:val="1166"/>
          <w:marRight w:val="0"/>
          <w:marTop w:val="96"/>
          <w:marBottom w:val="0"/>
          <w:divBdr>
            <w:top w:val="none" w:sz="0" w:space="0" w:color="auto"/>
            <w:left w:val="none" w:sz="0" w:space="0" w:color="auto"/>
            <w:bottom w:val="none" w:sz="0" w:space="0" w:color="auto"/>
            <w:right w:val="none" w:sz="0" w:space="0" w:color="auto"/>
          </w:divBdr>
        </w:div>
        <w:div w:id="1100486644">
          <w:marLeft w:val="1800"/>
          <w:marRight w:val="0"/>
          <w:marTop w:val="82"/>
          <w:marBottom w:val="0"/>
          <w:divBdr>
            <w:top w:val="none" w:sz="0" w:space="0" w:color="auto"/>
            <w:left w:val="none" w:sz="0" w:space="0" w:color="auto"/>
            <w:bottom w:val="none" w:sz="0" w:space="0" w:color="auto"/>
            <w:right w:val="none" w:sz="0" w:space="0" w:color="auto"/>
          </w:divBdr>
        </w:div>
        <w:div w:id="1115707333">
          <w:marLeft w:val="1800"/>
          <w:marRight w:val="0"/>
          <w:marTop w:val="82"/>
          <w:marBottom w:val="0"/>
          <w:divBdr>
            <w:top w:val="none" w:sz="0" w:space="0" w:color="auto"/>
            <w:left w:val="none" w:sz="0" w:space="0" w:color="auto"/>
            <w:bottom w:val="none" w:sz="0" w:space="0" w:color="auto"/>
            <w:right w:val="none" w:sz="0" w:space="0" w:color="auto"/>
          </w:divBdr>
        </w:div>
        <w:div w:id="1377192372">
          <w:marLeft w:val="1166"/>
          <w:marRight w:val="0"/>
          <w:marTop w:val="96"/>
          <w:marBottom w:val="0"/>
          <w:divBdr>
            <w:top w:val="none" w:sz="0" w:space="0" w:color="auto"/>
            <w:left w:val="none" w:sz="0" w:space="0" w:color="auto"/>
            <w:bottom w:val="none" w:sz="0" w:space="0" w:color="auto"/>
            <w:right w:val="none" w:sz="0" w:space="0" w:color="auto"/>
          </w:divBdr>
        </w:div>
        <w:div w:id="1532181095">
          <w:marLeft w:val="1800"/>
          <w:marRight w:val="0"/>
          <w:marTop w:val="82"/>
          <w:marBottom w:val="0"/>
          <w:divBdr>
            <w:top w:val="none" w:sz="0" w:space="0" w:color="auto"/>
            <w:left w:val="none" w:sz="0" w:space="0" w:color="auto"/>
            <w:bottom w:val="none" w:sz="0" w:space="0" w:color="auto"/>
            <w:right w:val="none" w:sz="0" w:space="0" w:color="auto"/>
          </w:divBdr>
        </w:div>
        <w:div w:id="1653676034">
          <w:marLeft w:val="547"/>
          <w:marRight w:val="0"/>
          <w:marTop w:val="106"/>
          <w:marBottom w:val="0"/>
          <w:divBdr>
            <w:top w:val="none" w:sz="0" w:space="0" w:color="auto"/>
            <w:left w:val="none" w:sz="0" w:space="0" w:color="auto"/>
            <w:bottom w:val="none" w:sz="0" w:space="0" w:color="auto"/>
            <w:right w:val="none" w:sz="0" w:space="0" w:color="auto"/>
          </w:divBdr>
        </w:div>
        <w:div w:id="2069724675">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chart" Target="charts/chart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chart" Target="charts/chart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400" dirty="0"/>
              <a:t>ISD</a:t>
            </a:r>
            <a:r>
              <a:rPr lang="en-US" sz="1400" baseline="0" dirty="0"/>
              <a:t> = 500m</a:t>
            </a:r>
            <a:endParaRPr lang="en-US" sz="1400" dirty="0"/>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Sheet1!$B$1</c:f>
              <c:strCache>
                <c:ptCount val="1"/>
                <c:pt idx="0">
                  <c:v>Alt 1</c:v>
                </c:pt>
              </c:strCache>
            </c:strRef>
          </c:tx>
          <c:spPr>
            <a:solidFill>
              <a:schemeClr val="accent1"/>
            </a:solidFill>
            <a:ln>
              <a:noFill/>
            </a:ln>
            <a:effectLst/>
          </c:spPr>
          <c:invertIfNegative val="0"/>
          <c:cat>
            <c:strRef>
              <c:f>Sheet1!$A$2:$A$5</c:f>
              <c:strCache>
                <c:ptCount val="4"/>
                <c:pt idx="0">
                  <c:v>(0.125, 0.25)</c:v>
                </c:pt>
                <c:pt idx="1">
                  <c:v>(0.25, 0.25)</c:v>
                </c:pt>
                <c:pt idx="2">
                  <c:v>(0.25, 0.5)</c:v>
                </c:pt>
                <c:pt idx="3">
                  <c:v>(0.5, 0.5)</c:v>
                </c:pt>
              </c:strCache>
            </c:strRef>
          </c:cat>
          <c:val>
            <c:numRef>
              <c:f>Sheet1!$B$2:$B$5</c:f>
              <c:numCache>
                <c:formatCode>General</c:formatCode>
                <c:ptCount val="4"/>
                <c:pt idx="0">
                  <c:v>78.130319999999998</c:v>
                </c:pt>
                <c:pt idx="1">
                  <c:v>76.212329999999994</c:v>
                </c:pt>
                <c:pt idx="2">
                  <c:v>69.470370000000003</c:v>
                </c:pt>
                <c:pt idx="3">
                  <c:v>67.485330000000005</c:v>
                </c:pt>
              </c:numCache>
            </c:numRef>
          </c:val>
          <c:extLst>
            <c:ext xmlns:c16="http://schemas.microsoft.com/office/drawing/2014/chart" uri="{C3380CC4-5D6E-409C-BE32-E72D297353CC}">
              <c16:uniqueId val="{00000000-73E8-4153-BFD1-181B1E1AD5C4}"/>
            </c:ext>
          </c:extLst>
        </c:ser>
        <c:ser>
          <c:idx val="1"/>
          <c:order val="1"/>
          <c:tx>
            <c:strRef>
              <c:f>Sheet1!$C$1</c:f>
              <c:strCache>
                <c:ptCount val="1"/>
                <c:pt idx="0">
                  <c:v>Alt 3</c:v>
                </c:pt>
              </c:strCache>
            </c:strRef>
          </c:tx>
          <c:spPr>
            <a:solidFill>
              <a:schemeClr val="accent2"/>
            </a:solidFill>
            <a:ln>
              <a:noFill/>
            </a:ln>
            <a:effectLst/>
          </c:spPr>
          <c:invertIfNegative val="0"/>
          <c:cat>
            <c:strRef>
              <c:f>Sheet1!$A$2:$A$5</c:f>
              <c:strCache>
                <c:ptCount val="4"/>
                <c:pt idx="0">
                  <c:v>(0.125, 0.25)</c:v>
                </c:pt>
                <c:pt idx="1">
                  <c:v>(0.25, 0.25)</c:v>
                </c:pt>
                <c:pt idx="2">
                  <c:v>(0.25, 0.5)</c:v>
                </c:pt>
                <c:pt idx="3">
                  <c:v>(0.5, 0.5)</c:v>
                </c:pt>
              </c:strCache>
            </c:strRef>
          </c:cat>
          <c:val>
            <c:numRef>
              <c:f>Sheet1!$C$2:$C$5</c:f>
              <c:numCache>
                <c:formatCode>General</c:formatCode>
                <c:ptCount val="4"/>
                <c:pt idx="0">
                  <c:v>76.647329999999997</c:v>
                </c:pt>
                <c:pt idx="1">
                  <c:v>76.531720000000007</c:v>
                </c:pt>
                <c:pt idx="2">
                  <c:v>69.025710000000004</c:v>
                </c:pt>
                <c:pt idx="3">
                  <c:v>70.369770000000003</c:v>
                </c:pt>
              </c:numCache>
            </c:numRef>
          </c:val>
          <c:extLst>
            <c:ext xmlns:c16="http://schemas.microsoft.com/office/drawing/2014/chart" uri="{C3380CC4-5D6E-409C-BE32-E72D297353CC}">
              <c16:uniqueId val="{00000001-73E8-4153-BFD1-181B1E1AD5C4}"/>
            </c:ext>
          </c:extLst>
        </c:ser>
        <c:dLbls>
          <c:showLegendKey val="0"/>
          <c:showVal val="0"/>
          <c:showCatName val="0"/>
          <c:showSerName val="0"/>
          <c:showPercent val="0"/>
          <c:showBubbleSize val="0"/>
        </c:dLbls>
        <c:gapWidth val="219"/>
        <c:overlap val="-27"/>
        <c:axId val="1698444303"/>
        <c:axId val="1698446799"/>
      </c:barChart>
      <c:catAx>
        <c:axId val="1698444303"/>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000" dirty="0"/>
                  <a:t>(p</a:t>
                </a:r>
                <a:r>
                  <a:rPr lang="en-US" sz="1000" baseline="-25000" dirty="0"/>
                  <a:t>v </a:t>
                </a:r>
                <a:r>
                  <a:rPr lang="en-US" sz="1000" dirty="0"/>
                  <a:t>, </a:t>
                </a:r>
                <a:r>
                  <a:rPr lang="el-GR" sz="1000" dirty="0"/>
                  <a:t>β</a:t>
                </a:r>
                <a:r>
                  <a:rPr lang="en-US" sz="1000" dirty="0"/>
                  <a:t>)</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crossAx val="1698446799"/>
        <c:crosses val="autoZero"/>
        <c:auto val="1"/>
        <c:lblAlgn val="ctr"/>
        <c:lblOffset val="100"/>
        <c:noMultiLvlLbl val="0"/>
      </c:catAx>
      <c:valAx>
        <c:axId val="1698446799"/>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US" sz="900" dirty="0"/>
                  <a:t>Avg. UPT gain (%)</a:t>
                </a:r>
              </a:p>
            </c:rich>
          </c:tx>
          <c:overlay val="0"/>
          <c:spPr>
            <a:noFill/>
            <a:ln>
              <a:noFill/>
            </a:ln>
            <a:effectLst/>
          </c:spPr>
          <c:txPr>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698444303"/>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400" dirty="0"/>
              <a:t>ISD</a:t>
            </a:r>
            <a:r>
              <a:rPr lang="en-US" sz="1400" baseline="0" dirty="0"/>
              <a:t> = 800 m</a:t>
            </a:r>
            <a:endParaRPr lang="en-US" sz="1400" dirty="0"/>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Sheet1!$B$1</c:f>
              <c:strCache>
                <c:ptCount val="1"/>
                <c:pt idx="0">
                  <c:v>Alt 1</c:v>
                </c:pt>
              </c:strCache>
            </c:strRef>
          </c:tx>
          <c:spPr>
            <a:solidFill>
              <a:schemeClr val="accent1"/>
            </a:solidFill>
            <a:ln>
              <a:noFill/>
            </a:ln>
            <a:effectLst/>
          </c:spPr>
          <c:invertIfNegative val="0"/>
          <c:cat>
            <c:strRef>
              <c:f>Sheet1!$A$2:$A$5</c:f>
              <c:strCache>
                <c:ptCount val="4"/>
                <c:pt idx="0">
                  <c:v>(0.125, 0.25)</c:v>
                </c:pt>
                <c:pt idx="1">
                  <c:v>(0.25, 0.25)</c:v>
                </c:pt>
                <c:pt idx="2">
                  <c:v>(0.25, 0.5)</c:v>
                </c:pt>
                <c:pt idx="3">
                  <c:v>(0.5, 0.5)</c:v>
                </c:pt>
              </c:strCache>
            </c:strRef>
          </c:cat>
          <c:val>
            <c:numRef>
              <c:f>Sheet1!$B$2:$B$5</c:f>
              <c:numCache>
                <c:formatCode>General</c:formatCode>
                <c:ptCount val="4"/>
                <c:pt idx="0">
                  <c:v>108.4406</c:v>
                </c:pt>
                <c:pt idx="1">
                  <c:v>105.75879999999999</c:v>
                </c:pt>
                <c:pt idx="2">
                  <c:v>94.34402</c:v>
                </c:pt>
                <c:pt idx="3">
                  <c:v>98.222890000000007</c:v>
                </c:pt>
              </c:numCache>
            </c:numRef>
          </c:val>
          <c:extLst>
            <c:ext xmlns:c16="http://schemas.microsoft.com/office/drawing/2014/chart" uri="{C3380CC4-5D6E-409C-BE32-E72D297353CC}">
              <c16:uniqueId val="{00000000-ADDD-4CAC-80BD-32F77351A790}"/>
            </c:ext>
          </c:extLst>
        </c:ser>
        <c:ser>
          <c:idx val="1"/>
          <c:order val="1"/>
          <c:tx>
            <c:strRef>
              <c:f>Sheet1!$C$1</c:f>
              <c:strCache>
                <c:ptCount val="1"/>
                <c:pt idx="0">
                  <c:v>Alt 3</c:v>
                </c:pt>
              </c:strCache>
            </c:strRef>
          </c:tx>
          <c:spPr>
            <a:solidFill>
              <a:schemeClr val="accent2"/>
            </a:solidFill>
            <a:ln>
              <a:noFill/>
            </a:ln>
            <a:effectLst/>
          </c:spPr>
          <c:invertIfNegative val="0"/>
          <c:cat>
            <c:strRef>
              <c:f>Sheet1!$A$2:$A$5</c:f>
              <c:strCache>
                <c:ptCount val="4"/>
                <c:pt idx="0">
                  <c:v>(0.125, 0.25)</c:v>
                </c:pt>
                <c:pt idx="1">
                  <c:v>(0.25, 0.25)</c:v>
                </c:pt>
                <c:pt idx="2">
                  <c:v>(0.25, 0.5)</c:v>
                </c:pt>
                <c:pt idx="3">
                  <c:v>(0.5, 0.5)</c:v>
                </c:pt>
              </c:strCache>
            </c:strRef>
          </c:cat>
          <c:val>
            <c:numRef>
              <c:f>Sheet1!$C$2:$C$5</c:f>
              <c:numCache>
                <c:formatCode>General</c:formatCode>
                <c:ptCount val="4"/>
                <c:pt idx="0">
                  <c:v>109.7923</c:v>
                </c:pt>
                <c:pt idx="1">
                  <c:v>102.7689</c:v>
                </c:pt>
                <c:pt idx="2">
                  <c:v>98.881249999999994</c:v>
                </c:pt>
                <c:pt idx="3">
                  <c:v>97.224450000000004</c:v>
                </c:pt>
              </c:numCache>
            </c:numRef>
          </c:val>
          <c:extLst>
            <c:ext xmlns:c16="http://schemas.microsoft.com/office/drawing/2014/chart" uri="{C3380CC4-5D6E-409C-BE32-E72D297353CC}">
              <c16:uniqueId val="{00000001-ADDD-4CAC-80BD-32F77351A790}"/>
            </c:ext>
          </c:extLst>
        </c:ser>
        <c:dLbls>
          <c:showLegendKey val="0"/>
          <c:showVal val="0"/>
          <c:showCatName val="0"/>
          <c:showSerName val="0"/>
          <c:showPercent val="0"/>
          <c:showBubbleSize val="0"/>
        </c:dLbls>
        <c:gapWidth val="219"/>
        <c:overlap val="-27"/>
        <c:axId val="1821284383"/>
        <c:axId val="1821283135"/>
      </c:barChart>
      <c:catAx>
        <c:axId val="1821284383"/>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000" b="0" i="0" baseline="0" dirty="0">
                    <a:effectLst/>
                  </a:rPr>
                  <a:t>(p</a:t>
                </a:r>
                <a:r>
                  <a:rPr lang="en-US" sz="1000" b="0" i="0" baseline="-25000" dirty="0">
                    <a:effectLst/>
                  </a:rPr>
                  <a:t>v </a:t>
                </a:r>
                <a:r>
                  <a:rPr lang="en-US" sz="1000" b="0" i="0" baseline="0" dirty="0">
                    <a:effectLst/>
                  </a:rPr>
                  <a:t>, </a:t>
                </a:r>
                <a:r>
                  <a:rPr lang="el-GR" sz="1000" b="0" i="0" baseline="0" dirty="0">
                    <a:effectLst/>
                  </a:rPr>
                  <a:t>β</a:t>
                </a:r>
                <a:r>
                  <a:rPr lang="en-US" sz="1000" b="0" i="0" baseline="0" dirty="0">
                    <a:effectLst/>
                  </a:rPr>
                  <a:t>)</a:t>
                </a:r>
                <a:endParaRPr lang="en-US" sz="1000" dirty="0">
                  <a:effectLst/>
                </a:endParaRP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crossAx val="1821283135"/>
        <c:crosses val="autoZero"/>
        <c:auto val="1"/>
        <c:lblAlgn val="ctr"/>
        <c:lblOffset val="100"/>
        <c:noMultiLvlLbl val="0"/>
      </c:catAx>
      <c:valAx>
        <c:axId val="1821283135"/>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US" sz="900" dirty="0"/>
                  <a:t>Avg. UPT gain (%)</a:t>
                </a:r>
              </a:p>
            </c:rich>
          </c:tx>
          <c:overlay val="0"/>
          <c:spPr>
            <a:noFill/>
            <a:ln>
              <a:noFill/>
            </a:ln>
            <a:effectLst/>
          </c:spPr>
          <c:txPr>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821284383"/>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33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1197"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330" kern="1200"/>
  </cs:chartArea>
  <cs:dataLabel>
    <cs:lnRef idx="0"/>
    <cs:fillRef idx="0"/>
    <cs:effectRef idx="0"/>
    <cs:fontRef idx="minor">
      <a:schemeClr val="tx1">
        <a:lumMod val="75000"/>
        <a:lumOff val="25000"/>
      </a:schemeClr>
    </cs:fontRef>
    <cs:defRPr sz="1197"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197"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1197"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1197"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1197"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862"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1197"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1197"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33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1197"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330" kern="1200"/>
  </cs:chartArea>
  <cs:dataLabel>
    <cs:lnRef idx="0"/>
    <cs:fillRef idx="0"/>
    <cs:effectRef idx="0"/>
    <cs:fontRef idx="minor">
      <a:schemeClr val="tx1">
        <a:lumMod val="75000"/>
        <a:lumOff val="25000"/>
      </a:schemeClr>
    </cs:fontRef>
    <cs:defRPr sz="1197"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197"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1197"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1197"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1197"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862"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1197"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1197"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a73f97dc0a42ee901aafbd374b479cec">
  <xsd:schema xmlns:xsd="http://www.w3.org/2001/XMLSchema" xmlns:xs="http://www.w3.org/2001/XMLSchema" xmlns:p="http://schemas.microsoft.com/office/2006/metadata/properties" xmlns:ns2="dfb9c0e7-f8ff-4c2e-83b3-258d4f9c1bfe" targetNamespace="http://schemas.microsoft.com/office/2006/metadata/properties" ma:root="true" ma:fieldsID="bc42c61595906a1986f8014fc6e29be6"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3B8622F-A0B0-4336-9BBC-8BBB02B589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E77D5B-7D62-4FE4-BE19-C87427BA03D1}">
  <ds:schemaRefs>
    <ds:schemaRef ds:uri="http://schemas.openxmlformats.org/officeDocument/2006/bibliography"/>
  </ds:schemaRefs>
</ds:datastoreItem>
</file>

<file path=customXml/itemProps3.xml><?xml version="1.0" encoding="utf-8"?>
<ds:datastoreItem xmlns:ds="http://schemas.openxmlformats.org/officeDocument/2006/customXml" ds:itemID="{3BEC64B2-7AA5-4D0B-B197-4A0C5E1781E3}">
  <ds:schemaRefs>
    <ds:schemaRef ds:uri="http://schemas.microsoft.com/sharepoint/v3/contenttype/forms"/>
  </ds:schemaRefs>
</ds:datastoreItem>
</file>

<file path=customXml/itemProps4.xml><?xml version="1.0" encoding="utf-8"?>
<ds:datastoreItem xmlns:ds="http://schemas.openxmlformats.org/officeDocument/2006/customXml" ds:itemID="{E2679A43-107B-4BB3-B8AE-917BA9373FC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5183</Words>
  <Characters>29549</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34663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2023-05-12T23:46:00Z</dcterms:created>
  <dcterms:modified xsi:type="dcterms:W3CDTF">2023-05-15T04:55:00Z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0x010100B6A3FA8BDB20E243B54F73D0287F40B2</vt:lpwstr>
  </property>
  <property fmtid="{D5CDD505-2E9C-101B-9397-08002B2CF9AE}" pid="3" name="Technical Type">
    <vt:lpwstr/>
  </property>
  <property fmtid="{D5CDD505-2E9C-101B-9397-08002B2CF9AE}" pid="4" name="Document Type">
    <vt:lpwstr/>
  </property>
  <property fmtid="{D5CDD505-2E9C-101B-9397-08002B2CF9AE}" pid="5" name="MSIP_Label_83bcef13-7cac-433f-ba1d-47a323951816_Enabled">
    <vt:lpwstr>true</vt:lpwstr>
  </property>
  <property fmtid="{D5CDD505-2E9C-101B-9397-08002B2CF9AE}" pid="6" name="MSIP_Label_83bcef13-7cac-433f-ba1d-47a323951816_SetDate">
    <vt:lpwstr>2022-10-26T08:45:00Z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b0c2db1f-ca4b-4a4f-a85f-4df352d51712</vt:lpwstr>
  </property>
  <property fmtid="{D5CDD505-2E9C-101B-9397-08002B2CF9AE}" pid="11" name="MSIP_Label_83bcef13-7cac-433f-ba1d-47a323951816_ContentBits">
    <vt:lpwstr>0</vt:lpwstr>
  </property>
</Properties>
</file>